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TranspRLDV — Pflichten des Market Makers im Zusammenhang mit der Nichtberücksichtigung von Stimmrechten</w:t>
      </w:r>
    </w:p>
    <w:p>
      <w:r>
        <w:rPr>
          <w:color w:val="555555"/>
          <w:sz w:val="18"/>
        </w:rPr>
        <w:t xml:space="preserve">Transparenzrichtlinie-Durchführungsverordnung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Bietet der Market Maker für einen bestimmten Emittenten an einem Markt nicht mehr dauerhaft an, Aktien oder Instrumente im Sinne des § 38 Absatz 1 Satz 1 des Wertpapierhandelsgesetzes im Wege des Eigenhandels zu selbst gestellten Preisen zu kaufen oder zu verkaufen, ist er verpflichtet, der Bundesanstalt dies mitzuteilen.</w:t>
      </w:r>
    </w:p>
    <w:p>
      <w:r>
        <w:t xml:space="preserve">(2) Der Market Maker hat der Bundesanstalt auf deren Verlangen nachzuweisen, welche Aktien oder sonstigen Instrumente er in seiner Eigenschaft als Market Maker hält; andernfalls kann die Bundesanstalt die Verwahrung von in der Eigenschaft als Market Maker gehaltenen Aktien oder sonstigen Instrumenten auf einem gesonderten Konto anordnen.</w:t>
      </w:r>
    </w:p>
    <w:p>
      <w:r>
        <w:rPr>
          <w:color w:val="555555"/>
          <w:sz w:val="17"/>
        </w:rPr>
        <w:t xml:space="preserve">Zitiervorschlag: § 4 TranspRLDV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https://recht.nulegal.eu/gesetze/TranspRLDV/4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