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TranspRLDV — Übergangsbestimmung</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(1) Die §§ 10 und 11 sind erstmals auf Halbjahresfinanzberichte für das nach dem 31. Dezember 2007 beginnende Geschäftsjahr anzuwenden. Vergleichende Angaben nach § 10 Nr. 1 Buchstabe b müssen erstmals in der verkürzten Gewinn- und Verlustrechnung eines Halbjahresfinanzberichts für das nach dem 31. Dezember 2008 beginnende Geschäftsjahr enthalten sein.</w:t>
      </w:r>
    </w:p>
    <w:p>
      <w:r>
        <w:t xml:space="preserve">(2) § 1 Nummer 5 und 6, § 20 Absatz 1, § 21 Absatz 1 und 2 sowie § 22 Absatz 1 und 2 Satz 1 finden auf die Verwaltung inländischer OGAW, welche am 21. Juli 2013 aufgelegt waren, erst ab dem in § 355 Absatz 2 Satz 10 des Kapitalanlagegesetzbuchs genannten Zeitpunkt und auf die Verwaltung inländischer AIF, welche am 21. Juli 2013 aufgelegt waren, erst ab dem in § 345 Absatz 1 Satz 11 genannten Zeitpunkt Anwendung; bis dahin gelten sie für die Verwaltung inländischer OGAW und inländischer AIF in der bis zum 21. Juli 2013 geltenden Fassung.</w:t>
      </w:r>
    </w:p>
    <w:p>
      <w:r>
        <w:t xml:space="preserve">(3) Die §§ 10 und 12 in der Fassung des CSR-Richtlinie-Umsetzungsgesetzes vom 11. April 2017 (BGBl. I S. 802) sind erstmals auf Jahres- und Konzernabschlüsse, Lage- und Konzernlageberichte für das nach dem 31. Dezember 2016 beginnende Geschäftsjahr anzuwenden. Die §§ 10 und 12 in der bis zum 18. April 2017 geltenden Fassung sind letztmals anzuwenden auf Lage- und Konzernlageberichte für das vor dem 1. Januar 2017 beginnende Geschäftsjahr.</w:t>
      </w:r>
    </w:p>
    <w:p>
      <w:r>
        <w:rPr>
          <w:color w:val="555555"/>
          <w:sz w:val="17"/>
        </w:rPr>
        <w:t xml:space="preserve">Zitiervorschlag: § 23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