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TranspRLDV — Mitteilungspflichten des Bieters gegenüber der Bundesanstalt für Finanzdienstleistungsaufsicht</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(1) Der Bieter hat die Angaben nach § 30 Abs. 3 Satz 1 Nr. 3 des Wertpapiererwerbs- und Übernahmegesetzes fortlaufend zu aktualisieren.</w:t>
      </w:r>
    </w:p>
    <w:p>
      <w:r>
        <w:t xml:space="preserve">(2) Eine Erklärung nach § 30 Abs. 3 Satz 1 Nr. 4 des Wertpapiererwerbs- und Übernahmegesetzes ist hinsichtlich der vom Wertpapierdienstleistungsunternehmen gehaltenen Instrumente im Sinne des § 38 Absatz 1 Satz 1 des Wertpapierhandelsgesetzes nicht erforderlich.</w:t>
      </w:r>
    </w:p>
    <w:p>
      <w:r>
        <w:t xml:space="preserve">(3) Der Bieter hat der Bundesanstalt auf deren Verlangen nachzuweisen, dass</w:t>
      </w:r>
    </w:p>
    <w:p>
      <w:pPr>
        <w:ind w:left="420"/>
      </w:pPr>
      <w:r>
        <w:t xml:space="preserve">1. die Stimmrechte auf Grund seiner eigenen Organisationsstrukturen sowie derjenigen des Wertpapierdienstleistungsunternehmens von ihm unabhängig ausgeübt werden und</w:t>
      </w:r>
    </w:p>
    <w:p>
      <w:pPr>
        <w:ind w:left="420"/>
      </w:pPr>
      <w:r>
        <w:t xml:space="preserve">2. die Personen, die über die Stimmrechtsausübung entscheiden, unabhängig handeln.</w:t>
      </w:r>
    </w:p>
    <w:p>
      <w:r>
        <w:t xml:space="preserve">Satz 1 Nr. 1 setzt voraus, dass der Bieter und das Wertpapierdienstleistungsunternehmen zumindest schriftliche Strategien und Verfahren festgelegt haben, die dazu bestimmt sind, den Informationsaustausch zwischen dem Bieter und dem Wertpapierdienstleistungsunternehmen in Bezug auf die Stimmrechtsausübung zu verhindern. Ist der Bieter seinerseits Kunde des Wertpapierdienstleistungsunternehmens oder hält er Anteile an einer von diesem verwalteten Beteiligung, hat er der Bundesanstalt auf deren Verlangen auch nachzuweisen, dass ein klares schriftliches Mandat besteht, das eine unabhängige Kundenbeziehung zwischen ihm und dem Wertpapierdienstleistungsunternehmen vorsieht.</w:t>
      </w:r>
    </w:p>
    <w:p>
      <w:r>
        <w:rPr>
          <w:color w:val="555555"/>
          <w:sz w:val="17"/>
        </w:rPr>
        <w:t xml:space="preserve">Zitiervorschlag: § 19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