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TranspRLDV — Gleichwertigkeit der Anforderungen bei einem Konzernabschluss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eines Drittstaates gelten als gleichwertig zu den Anforderungen des § 117 Nummer 1 des Wertpapierhandelsgesetzes, wenn seine Rechtsvorschriften unter Verzicht auf einen Jahresabschluss des Emittenten vorschreiben, dass ein Emittent mit Sitz in dem Drittstaat einen Konzernabschluss erstellt, der die folgenden Angaben enthält:</w:t>
      </w:r>
    </w:p>
    <w:p>
      <w:pPr>
        <w:ind w:left="420"/>
      </w:pPr>
      <w:r>
        <w:t xml:space="preserve">1. bei Emittenten von Aktien die Berechnung der Dividende und die Möglichkeit ihrer Auszahlung;</w:t>
      </w:r>
    </w:p>
    <w:p>
      <w:pPr>
        <w:ind w:left="420"/>
      </w:pPr>
      <w:r>
        <w:t xml:space="preserve">2. die Angabe der Anforderungen an Mindestkapital und Liquidität.</w:t>
      </w:r>
    </w:p>
    <w:p>
      <w:r>
        <w:t xml:space="preserve">Auf Verlangen hat ein Emittent der zuständigen Behörde zusätzliche geprüfte Angaben zu übermitteln, die Aufschluss über seinen Jahresabschluss geben und die Angaben gemäß Satz 1 erläutern. Diese zusätzlichen Angaben können auf der Grundlage der Rechnungslegungsgrundsätze des Drittstaates erfolgen.</w:t>
      </w:r>
    </w:p>
    <w:p>
      <w:r>
        <w:rPr>
          <w:color w:val="555555"/>
          <w:sz w:val="17"/>
        </w:rPr>
        <w:t xml:space="preserve">Zitiervorschlag: § 16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