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TranspRLDV — Gleichwertigkeit der Anforderungen an den Zwischenlagebericht</w:t>
      </w:r>
    </w:p>
    <w:p>
      <w:r>
        <w:rPr>
          <w:color w:val="555555"/>
          <w:sz w:val="18"/>
        </w:rPr>
        <w:t xml:space="preserve">Transparenzrichtlinie-Durchführungsverordnung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Regeln eines Drittstaates gelten als gleichwertig zu den Anforderungen des § 115 Absatz 2 Nummer 2 und Absatz 4 des Wertpapierhandelsgesetzes, wenn seine Rechtsvorschriften vorschreiben, dass ein Emittent einen Zwischenlagebericht, der die folgenden Angaben enthält, erstellt:</w:t>
      </w:r>
    </w:p>
    <w:p>
      <w:pPr>
        <w:ind w:left="420"/>
      </w:pPr>
      <w:r>
        <w:t xml:space="preserve">1. eine Darstellung des Berichtszeitraums;</w:t>
      </w:r>
    </w:p>
    <w:p>
      <w:pPr>
        <w:ind w:left="420"/>
      </w:pPr>
      <w:r>
        <w:t xml:space="preserve">2. Angaben zur wahrscheinlichen künftigen Entwicklung des Unternehmens in den dem Berichtszeitraum folgenden sechs Monaten des Geschäftsjahrs;</w:t>
      </w:r>
    </w:p>
    <w:p>
      <w:pPr>
        <w:ind w:left="420"/>
      </w:pPr>
      <w:r>
        <w:t xml:space="preserve">3. bei Emittenten von Aktien Angaben zu wesentlichen Geschäften mit nahe stehenden Unternehmen und Personen, wenn sie nicht kontinuierlich veröffentlicht werden.</w:t>
      </w:r>
    </w:p>
    <w:p>
      <w:r>
        <w:rPr>
          <w:color w:val="555555"/>
          <w:sz w:val="17"/>
        </w:rPr>
        <w:t xml:space="preserve">Zitiervorschlag: § 13 TranspRLDV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https://recht.nulegal.eu/gesetze/TranspRLDV/13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