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TranspRLDV — Wesentliche Geschäfte mit nahe stehenden Unternehmen und Personen</w:t>
      </w:r>
    </w:p>
    <w:p>
      <w:r>
        <w:rPr>
          <w:color w:val="555555"/>
          <w:sz w:val="18"/>
        </w:rPr>
        <w:t xml:space="preserve">Transparenzrichtlinie-Durchführungsverordnung</w:t>
      </w:r>
    </w:p>
    <w:p>
      <w:r>
        <w:rPr>
          <w:color w:val="555555"/>
          <w:sz w:val="18"/>
        </w:rPr>
        <w:t xml:space="preserve">Stand: 10.06.2019 (konsolidierte Textfassung, kein amtliches Inkrafttretensdatum)</w:t>
      </w:r>
    </w:p>
    <w:p>
      <w:r>
        <w:t xml:space="preserve">(1) Ein Unternehmen, das als Inlandsemittent Aktien begibt und gesetzlich zur Aufstellung eines Konzernabschlusses verpflichtet ist, hat im Zwischenlagebericht oder im Anhang des Halbjahresfinanzberichts anzugeben</w:t>
      </w:r>
    </w:p>
    <w:p>
      <w:pPr>
        <w:ind w:left="420"/>
      </w:pPr>
      <w:r>
        <w:t xml:space="preserve">1. Geschäfte mit nahe stehenden Unternehmen und Personen, die in den ersten sechs Monaten des laufenden Geschäftsjahrs abgeschlossen wurden und die die Finanzlage oder das Geschäftsergebnis des Unternehmens in diesem Zeitraum wesentlich beeinflusst haben, sowie</w:t>
      </w:r>
    </w:p>
    <w:p>
      <w:pPr>
        <w:ind w:left="420"/>
      </w:pPr>
      <w:r>
        <w:t xml:space="preserve">2. Änderungen der Geschäfte mit nahe stehenden Unternehmen und Personen, die für das vorhergehende Geschäftsjahr angegeben wurden und die Finanzlage oder das Geschäftsergebnis des Unternehmens in den ersten sechs Monaten des laufenden Geschäftsjahrs wesentlich beeinflusst haben könnten.</w:t>
      </w:r>
    </w:p>
    <w:p>
      <w:r>
        <w:t xml:space="preserve">(2) Ein Unternehmen, das als Inlandsemittent Aktien begibt und nicht gesetzlich zur Aufstellung eines Konzernabschlusses verpflichtet ist, hat zumindest wesentliche nicht zu marktüblichen Bedingungen zustande gekommene Geschäfte mit nahe stehenden Unternehmen und Personen anzugeben, einschließlich Angaben zur Art der Beziehung, zum Wert der Geschäfte sowie weiterer Angaben, die für die Beurteilung der Finanzlage notwendig sind; ausgenommen sind Geschäfte innerhalb eines Konzerns zwischen mittel- oder unmittelbar in hundertprozentigem Anteilsbesitz stehenden konzernangehörigen Unternehmen (gruppeninterne Transaktionen). Angaben über Geschäfte können nach Geschäftsarten zusammengefasst werden, sofern die getrennte Angabe für die Beurteilung der Auswirkungen auf die Finanzlage nicht notwendig ist.</w:t>
      </w:r>
    </w:p>
    <w:p>
      <w:r>
        <w:rPr>
          <w:color w:val="555555"/>
          <w:sz w:val="17"/>
        </w:rPr>
        <w:t xml:space="preserve">Zitiervorschlag: § 11 TranspRLDV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