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TranspRLDV — Anwendungsbereich</w:t>
      </w:r>
    </w:p>
    <w:p>
      <w:r>
        <w:rPr>
          <w:color w:val="555555"/>
          <w:sz w:val="18"/>
        </w:rPr>
        <w:t xml:space="preserve">Transparenzrichtlinie-Durchführungsverordnung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</w:t>
      </w:r>
    </w:p>
    <w:p>
      <w:pPr>
        <w:ind w:left="420"/>
      </w:pPr>
      <w:r>
        <w:t xml:space="preserve">1. Umstände, unter denen im Sinne des § 35 Absatz 2 Satz 1 des Wertpapierhandelsgesetzes eine Unabhängigkeit des Wertpapierdienstleistungsunternehmens vom Meldepflichtigen gegeben ist,</w:t>
      </w:r>
    </w:p>
    <w:p>
      <w:pPr>
        <w:ind w:left="420"/>
      </w:pPr>
      <w:r>
        <w:t xml:space="preserve">2. Pflichten des Market Makers im Zusammenhang mit einer Nichtberücksichtigung seiner Stimmrechte nach § 36 Absatz 5 des Wertpapierhandelsgesetzes,</w:t>
      </w:r>
    </w:p>
    <w:p>
      <w:pPr>
        <w:ind w:left="420"/>
      </w:pPr>
      <w:r>
        <w:t xml:space="preserve">3. den Inhalt des Halbjahresfinanzberichts, den ein Inlandsemittent nach § 115 Absatz 1 Satz 1 des Wertpapierhandelsgesetzes der Öffentlichkeit zur Verfügung zu stellen hat,</w:t>
      </w:r>
    </w:p>
    <w:p>
      <w:pPr>
        <w:ind w:left="420"/>
      </w:pPr>
      <w:r>
        <w:t xml:space="preserve">4. Umstände, unter denen im Sinne des § 30 Abs. 3 des Wertpapiererwerbs- und Übernahmegesetzes eine Unabhängigkeit des Wertpapierdienstleistungsunternehmens vom Bieter gegeben ist,</w:t>
      </w:r>
    </w:p>
    <w:p>
      <w:pPr>
        <w:ind w:left="420"/>
      </w:pPr>
      <w:r>
        <w:t xml:space="preserve">5. Umstände, unter denen im Sinne des § 35 Absatz 3 Nummer 1 des Wertpapierhandelsgesetzes eine Unabhängigkeit der Kapitalverwaltungsgesellschaft oder der EU-Verwaltungsgesellschaft vom Mutterunternehmen gegeben ist, sowie</w:t>
      </w:r>
    </w:p>
    <w:p>
      <w:pPr>
        <w:ind w:left="420"/>
      </w:pPr>
      <w:r>
        <w:t xml:space="preserve">6. die Gleichwertigkeit der Regeln eines Drittstaates zu den Anforderungen des § 35 Absatz 4, des § 40 Absatz 1, der §§ 41, 48, 49 und 50 Absatz 1 Satz 1 Nummer 1 und 2 sowie der §§ 114 bis 117 des Wertpapierhandelsgesetzes.</w:t>
      </w:r>
    </w:p>
    <w:p>
      <w:r>
        <w:rPr>
          <w:color w:val="555555"/>
          <w:sz w:val="17"/>
        </w:rPr>
        <w:t xml:space="preserve">Zitiervorschlag: § 1 TranspRLDV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https://recht.nulegal.eu/gesetze/TranspRLDV/1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