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TrainerV — Inkrafttreten</w:t>
      </w:r>
    </w:p>
    <w:p>
      <w:r>
        <w:rPr>
          <w:color w:val="555555"/>
          <w:sz w:val="18"/>
        </w:rPr>
        <w:t xml:space="preserve">Verordnung über die Ausbildungsförderung für den Besuch der Trainerakademie Köln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1979 in Kraft.</w:t>
      </w:r>
    </w:p>
    <w:p>
      <w:r>
        <w:rPr>
          <w:color w:val="555555"/>
          <w:sz w:val="17"/>
        </w:rPr>
        <w:t xml:space="preserve">Zitiervorschlag: § 4 TrainerV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https://recht.nulegal.eu/gesetze/TrainerV/4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