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TrainerV — Ausbildungsstätte</w:t>
      </w:r>
    </w:p>
    <w:p>
      <w:r>
        <w:rPr>
          <w:color w:val="555555"/>
          <w:sz w:val="18"/>
        </w:rPr>
        <w:t xml:space="preserve">Verordnung über die Ausbildungsförderung für den Besuch der Trainerakademie Köln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Ausbildungsförderung nach dem Bundesausbildungsförderungsgesetz wird für den Besuch der Trainerakademie Köln e.V. geleistet.</w:t>
      </w:r>
    </w:p>
    <w:p>
      <w:r>
        <w:t xml:space="preserve">(2) Ausbildungsförderung wird nur geleistet, wenn die Ausbildung nach der von der zuständigen Landesbehörde erlassenen Studien- und Prüfungsordnung für staatlich geprüfte Trainer durchgeführt wird.</w:t>
      </w:r>
    </w:p>
    <w:p>
      <w:r>
        <w:rPr>
          <w:color w:val="555555"/>
          <w:sz w:val="17"/>
        </w:rPr>
        <w:t xml:space="preserve">Zitiervorschlag: § 1 TrainerV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https://recht.nulegal.eu/gesetze/TrainerV/1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