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TrZollV</w:t>
      </w:r>
    </w:p>
    <w:p>
      <w:r>
        <w:rPr>
          <w:color w:val="555555"/>
          <w:sz w:val="18"/>
        </w:rPr>
        <w:t xml:space="preserve">Truppenzollverordnung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und 2 des Truppenzollgesetzes vom 19. Mai 2009 (BGBl. I S. 1090) verordnet das Bundesministerium der Finanzen:</w:t>
      </w:r>
    </w:p>
    <w:p>
      <w:r>
        <w:rPr>
          <w:color w:val="555555"/>
          <w:sz w:val="17"/>
        </w:rPr>
        <w:t xml:space="preserve">Zitiervorschlag: Eingangsformel TrZollV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https://recht.nulegal.eu/gesetze/TrZollV/eingangsformel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