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TrZollV — Verzicht auf die Einfuhr-/Erwerbsgenehmigung</w:t>
      </w:r>
    </w:p>
    <w:p>
      <w:r>
        <w:rPr>
          <w:color w:val="555555"/>
          <w:sz w:val="18"/>
        </w:rPr>
        <w:t xml:space="preserve">Truppenzollverordnung</w:t>
      </w:r>
    </w:p>
    <w:p>
      <w:r>
        <w:rPr>
          <w:color w:val="555555"/>
          <w:sz w:val="18"/>
        </w:rPr>
        <w:t xml:space="preserve">Stand: 10.06.2019 (konsolidierte Textfassung, kein amtliches Inkrafttretensdatum)</w:t>
      </w:r>
    </w:p>
    <w:p>
      <w:r>
        <w:t xml:space="preserve">(1) Die nach § 4 Absatz 1 Nummer 5 des Gesetzes erforderliche Einfuhr-/Erwerbsgenehmigung kann bei der Einfuhr von Übersiedlungsgut, Kraftfahrzeugen, Kraftfahrzeuganhängern, Wasserfahrzeugen und Luftfahrzeugen aus Drittländern aus Anlass von Versetzungen in den Geltungsbereich des Gesetzes durch den schriftlichen Versetzungsbefehl der ausländischen Streitkräfte oder der Hauptquartiere ersetzt werden. Die Zollstelle kann in diesen Fällen eine Einfuhr-/Erwerbsgenehmigung verlangen, wenn Zweifel bestehen, ob die Waren zum persönlichen oder häuslichen Gebrauch bestimmt sind oder ob die Person, die die Waren einführt, Mitglied der ausländischen Streitkräfte oder der Hauptquartiere ist.</w:t>
      </w:r>
    </w:p>
    <w:p>
      <w:r>
        <w:t xml:space="preserve">(2) Bei der Einfuhr von Kraftfahrzeugen, Kraftfahrzeuganhängern, Wasserfahrzeugen und Luftfahrzeugen aus Drittländern, für die die Truppenverwendung durch eine vorübergehende Ausfuhr in ein Drittland endete, ist keine Einfuhr-/Erwerbsgenehmigung erforderlich, wenn die von den Behörden der ausländischen Streitkräfte in Deutschland ausgestellte Registrierbescheinigung mitgeführt wird.</w:t>
      </w:r>
    </w:p>
    <w:p>
      <w:r>
        <w:rPr>
          <w:color w:val="555555"/>
          <w:sz w:val="17"/>
        </w:rPr>
        <w:t xml:space="preserve">Zitiervorschlag: § 6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