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TrZollV — Inkrafttreten, Außerkrafttreten</w:t>
      </w:r>
    </w:p>
    <w:p>
      <w:r>
        <w:rPr>
          <w:color w:val="555555"/>
          <w:sz w:val="18"/>
        </w:rPr>
        <w:t xml:space="preserve">Truppenzollverordnung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November 2009 in Kraft.</w:t>
      </w:r>
    </w:p>
    <w:p>
      <w:r>
        <w:rPr>
          <w:color w:val="555555"/>
          <w:sz w:val="17"/>
        </w:rPr>
        <w:t xml:space="preserve">Zitiervorschlag: § 29 TrZollV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https://recht.nulegal.eu/gesetze/TrZollV/29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