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TrZollV — Ordnungswidrigkeiten</w:t>
      </w:r>
    </w:p>
    <w:p>
      <w:r>
        <w:rPr>
          <w:color w:val="555555"/>
          <w:sz w:val="18"/>
        </w:rPr>
        <w:t xml:space="preserve">Truppenzollverordnung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382 Absatz 1 Nummer 2 der Abgabenordnung handelt, wer vorsätzlich oder fahrlässig:</w:t>
      </w:r>
    </w:p>
    <w:p>
      <w:pPr>
        <w:ind w:left="420"/>
      </w:pPr>
      <w:r>
        <w:t xml:space="preserve">1. entgegen § 16 Absatz 1 eine Ware einkauft,</w:t>
      </w:r>
    </w:p>
    <w:p>
      <w:pPr>
        <w:ind w:left="420"/>
      </w:pPr>
      <w:r>
        <w:t xml:space="preserve">2. entgegen § 16 Absatz 3 Satz 1 eine Mitteilung nicht, nicht richtig, nicht vollständig oder nicht rechtzeitig macht,</w:t>
      </w:r>
    </w:p>
    <w:p>
      <w:pPr>
        <w:ind w:left="420"/>
      </w:pPr>
      <w:r>
        <w:t xml:space="preserve">3. entgegen § 17 Absatz 1 Satz 2 einer vollziehbaren Auflage oder Bedingung zuwiderhandelt,</w:t>
      </w:r>
    </w:p>
    <w:p>
      <w:pPr>
        <w:ind w:left="420"/>
      </w:pPr>
      <w:r>
        <w:t xml:space="preserve">4. entgegen § 20 Absatz 3 eine Einfuhrware abgibt.</w:t>
      </w:r>
    </w:p>
    <w:p>
      <w:r>
        <w:rPr>
          <w:color w:val="555555"/>
          <w:sz w:val="17"/>
        </w:rPr>
        <w:t xml:space="preserve">Zitiervorschlag: § 28 TrZollV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