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TrZollV — Abgabe von Geschenken, Abgabenbefreiung</w:t>
      </w:r>
    </w:p>
    <w:p>
      <w:r>
        <w:rPr>
          <w:color w:val="555555"/>
          <w:sz w:val="18"/>
        </w:rPr>
        <w:t xml:space="preserve">Truppenzollverordnung</w:t>
      </w:r>
    </w:p>
    <w:p>
      <w:r>
        <w:rPr>
          <w:color w:val="555555"/>
          <w:sz w:val="18"/>
        </w:rPr>
        <w:t xml:space="preserve">Stand: 10.06.2019 (konsolidierte Textfassung, kein amtliches Inkrafttretensdatum)</w:t>
      </w:r>
    </w:p>
    <w:p>
      <w:r>
        <w:t xml:space="preserve">(1) Mitglieder der ausländischen Streitkräfte oder der Hauptquartiere dürfen abweichend von dem in § 16 des Gesetzes und in § 18 dieser Verordnung geregelten Verfahren übliche Geschenke persönlicher Art in nicht zum Handel geeigneten Mengen an nichtberechtigte Personen abgeben.</w:t>
      </w:r>
    </w:p>
    <w:p>
      <w:r>
        <w:t xml:space="preserve">(2) Übliche Geschenke sind gelegentliche Zuwendungen, die dem Anlass der Schenkung sowie den Lebensverhältnissen der schenkenden und der beschenkten Person entsprechen, nicht zur Weitergabe an Dritte bestimmt sind und keine Gegenleistung für eine Leistung darstellen. Wiederholte oder laufende Zuwendungen sind keine üblichen Geschenke im Sinne dieser Bestimmungen.</w:t>
      </w:r>
    </w:p>
    <w:p>
      <w:r>
        <w:t xml:space="preserve">(3) Die nachstehend aufgeführten Waren gelten nur dann als übliche Geschenke, wenn sie die folgenden Mengen nicht überschreiten:</w:t>
      </w:r>
    </w:p>
    <w:p>
      <w:r>
        <w:rPr>
          <w:rFonts w:ascii="Courier New" w:hAnsi="Courier New"/>
          <w:sz w:val="17"/>
        </w:rPr>
        <w:t xml:space="preserve">1.    Zigaretten    25 Stück oder</w:t>
      </w:r>
    </w:p>
    <w:p>
      <w:r>
        <w:rPr>
          <w:rFonts w:ascii="Courier New" w:hAnsi="Courier New"/>
          <w:sz w:val="17"/>
        </w:rPr>
        <w:t xml:space="preserve">2.    Zigarren und Zigarillos    10 Stück oder</w:t>
      </w:r>
    </w:p>
    <w:p>
      <w:r>
        <w:rPr>
          <w:rFonts w:ascii="Courier New" w:hAnsi="Courier New"/>
          <w:sz w:val="17"/>
        </w:rPr>
        <w:t xml:space="preserve">3.    Feinschnitt    60 Gramm,</w:t>
      </w:r>
    </w:p>
    <w:p>
      <w:r>
        <w:rPr>
          <w:rFonts w:ascii="Courier New" w:hAnsi="Courier New"/>
          <w:sz w:val="17"/>
        </w:rPr>
        <w:t xml:space="preserve">4.    Kaffee    500 Gramm,</w:t>
      </w:r>
    </w:p>
    <w:p>
      <w:r>
        <w:rPr>
          <w:rFonts w:ascii="Courier New" w:hAnsi="Courier New"/>
          <w:sz w:val="17"/>
        </w:rPr>
        <w:t xml:space="preserve">5.    Alkohol und alkoholhaltige Getränke mit einem Alkoholgehalt von 30 Volumenprozent oder mehr    eine Flasche mit höchstens 1,2 Liter Inhalt.</w:t>
      </w:r>
    </w:p>
    <w:p>
      <w:r>
        <w:t xml:space="preserve">(4) Einfuhrwaren, die nach Absatz 1 abgegeben werden, gelten mit der Übergabe an die nichtberechtigte Person als gestellt und als zum zollrechtlich freien Verkehr angemeldet. Die Zollanmeldung gilt als angenommen und die Waren gelten als zum zollrechtlich freien Verkehr überlassen. Einfuhrabgaben für diese Waren werden nicht erhoben und damit auch nicht buchmäßig erfasst.</w:t>
      </w:r>
    </w:p>
    <w:p>
      <w:r>
        <w:rPr>
          <w:color w:val="555555"/>
          <w:sz w:val="17"/>
        </w:rPr>
        <w:t xml:space="preserve">Zitiervorschlag: § 19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