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TrZollV — Veräußerungsgenehmigung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nach § 16 Absatz 1 des Gesetzes erforderliche Anzeige soll bei der Übernahme von Waren aus der Truppenverwendung der Mitglieder der ausländischen Streitkräfte und der Hauptquartiere aus Anlass von Veräußerungen durch diese Personen dadurch erfolgen, dass ein von den zuständigen Behörden der ausländischen Streitkräfte oder der Hauptquartiere ausgestelltes Formblatt vorgelegt wird, auf dem die Veräußerung befürwortet wird (Veräußerungsgenehmigung).</w:t>
      </w:r>
    </w:p>
    <w:p>
      <w:r>
        <w:t xml:space="preserve">(2) Die in Absatz 1 genannte Veräußerungsgenehmigung hat das veräußernde Mitglied der ausländischen Streitkräfte oder der Hauptquartiere bei den zuständigen Behörden der ausländischen Streitkräfte oder der Hauptquartiere zu beantragen. Der Antrag ist auf dem von diesen Behörden dafür vorgesehenen Formblatt zu stellen. § 23 des Gesetzes gilt sinngemäß.</w:t>
      </w:r>
    </w:p>
    <w:p>
      <w:r>
        <w:rPr>
          <w:color w:val="555555"/>
          <w:sz w:val="17"/>
        </w:rPr>
        <w:t xml:space="preserve">Zitiervorschlag: § 18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