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TrZollV — Erwerb von Einfuhrwaren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ausländischen Streitkräfte oder die Hauptquartiere können nichtberechtigten Personen erlauben, Einfuhrwaren für den Bedarf minderjähriger Kinder, die Mitglieder der ausländischen Streitkräfte oder der Hauptquartiere sind, zu erwerben. Voraussetzung ist, dass</w:t>
      </w:r>
    </w:p>
    <w:p>
      <w:pPr>
        <w:ind w:left="420"/>
      </w:pPr>
      <w:r>
        <w:t xml:space="preserve">1. die Eltern Mitglieder der Truppe oder des zivilen Gefolges der ausländischen Streitkräfte oder eines Hauptquartiers sind und mindestens ein Elternteil vorübergehend einen Einsatz in einem Kriegs- oder Krisengebiet leistet,</w:t>
      </w:r>
    </w:p>
    <w:p>
      <w:pPr>
        <w:ind w:left="420"/>
      </w:pPr>
      <w:r>
        <w:t xml:space="preserve">2. kein Elternteil sich in dieser Zeit im Geltungsbereich des Gesetzes aufhält und</w:t>
      </w:r>
    </w:p>
    <w:p>
      <w:pPr>
        <w:ind w:left="420"/>
      </w:pPr>
      <w:r>
        <w:t xml:space="preserve">3. die nichtberechtigte Person von den Eltern mit der Betreuung deren minderjähriger Kinder beauftragt wurde.</w:t>
      </w:r>
    </w:p>
    <w:p>
      <w:r>
        <w:t xml:space="preserve">(2) Diese Erlaubnis beschränkt sich nur auf Einfuhrwaren für den Bedarf der in Absatz 1 genannten Kinder. Für den eigenen Bedarf der in Absatz 1 genannten nichtberechtigten Person kann den ausländischen Streitkräften oder den Hauptquartieren die Abgabe von rationierten Waren im Sinne des § 18 des Gesetzes und von Einfuhrwaren bis zu einem Wert je einzelner Ware von 25 Euro abweichend von dem in § 16 des Gesetzes geregelten Verfahren genehmigt werden.</w:t>
      </w:r>
    </w:p>
    <w:p>
      <w:r>
        <w:t xml:space="preserve">(3) Ist die Abgabe der Einfuhrwaren genehmigt, gelten diese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t xml:space="preserve">(4) Die nach Absatz 1 genehmigte Abgabe von Energieerzeugnissen gegen besondere Gutscheine oder im Rahmen eines Tankkartenverfahrens ist der Lieferung an die ausländischen Streitkräfte oder die Hauptquartiere gleichgestellt.</w:t>
      </w:r>
    </w:p>
    <w:p>
      <w:r>
        <w:t xml:space="preserve">(5) Ein Abdruck der Erlaubnis ist der zuständigen Zollstelle zuzusenden.</w:t>
      </w:r>
    </w:p>
    <w:p>
      <w:r>
        <w:rPr>
          <w:color w:val="555555"/>
          <w:sz w:val="17"/>
        </w:rPr>
        <w:t xml:space="preserve">Zitiervorschlag: § 14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