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TrZollG — Übergang von Unionswaren in die Truppenverwendung</w:t>
      </w:r>
    </w:p>
    <w:p>
      <w:r>
        <w:rPr>
          <w:color w:val="555555"/>
          <w:sz w:val="18"/>
        </w:rPr>
        <w:t xml:space="preserve">Truppenzollgesetz</w:t>
      </w:r>
    </w:p>
    <w:p>
      <w:r>
        <w:rPr>
          <w:color w:val="555555"/>
          <w:sz w:val="18"/>
        </w:rPr>
        <w:t xml:space="preserve">Stand: 01.04.2026 (konsolidierte Textfassung, kein amtliches Inkrafttretensdatum)</w:t>
      </w:r>
    </w:p>
    <w:p>
      <w:r>
        <w:t xml:space="preserve">(1) Unionswaren, die ausländischen Streitkräften</w:t>
      </w:r>
    </w:p>
    <w:p>
      <w:pPr>
        <w:ind w:left="420"/>
      </w:pPr>
      <w:r>
        <w:t xml:space="preserve">1. nach Artikel 67 des Zusatzabkommens umsatz- oder verbrauchsteuerfrei oder unter Vergütung der Verbrauchsteuer,</w:t>
      </w:r>
    </w:p>
    <w:p>
      <w:pPr>
        <w:ind w:left="420"/>
      </w:pPr>
      <w:r>
        <w:t xml:space="preserve">2. unter den Voraussetzungen des § 1c Absatz 1 des Umsatzsteuergesetzes,</w:t>
      </w:r>
    </w:p>
    <w:p>
      <w:pPr>
        <w:ind w:left="420"/>
      </w:pPr>
      <w:r>
        <w:t xml:space="preserve">3. nach § 4 Nummer 7 Satz 1 Buchstabe a des Umsatzsteuergesetzes steuerfrei oder</w:t>
      </w:r>
    </w:p>
    <w:p>
      <w:pPr>
        <w:ind w:left="420"/>
      </w:pPr>
      <w:r>
        <w:t xml:space="preserve">4. nach den Vorschriften des Energiesteuergesetzes und der Energiesteuer-Durchführungsverordnung unter Vergütung der Verbrauchsteuer</w:t>
      </w:r>
    </w:p>
    <w:p>
      <w:r>
        <w:t xml:space="preserve">zu ihrem ausschließlichen Gebrauch oder Verbrauch geliefert werden, gehen mit der Übergabe an die Streitkräfte in die Truppenverwendung über und werden wie Nicht-Unionswaren behandelt. Sie stehen ab dem Zeitpunkt der Lieferung an die Streitkräfte unter zollamtlicher Überwachung. Der Lieferung von Energieerzeugnissen an die ausländischen Streitkräfte oder Hauptquartiere steht die Abgabe an zum Bezug berechtigte Mitglieder der ausländischen Streitkräfte oder Hauptquartiere gegen besondere Gutscheine oder im Rahmen eines Tankkartenverfahrens gleich.</w:t>
      </w:r>
    </w:p>
    <w:p>
      <w:r>
        <w:t xml:space="preserve">(2) Absatz 1 gilt entsprechend für Unionswaren, die Hauptquartieren</w:t>
      </w:r>
    </w:p>
    <w:p>
      <w:pPr>
        <w:ind w:left="420"/>
      </w:pPr>
      <w:r>
        <w:t xml:space="preserve">1. nach den Artikeln 2 und 8 des Hauptquartierprotokolls oder den Artikeln 14 und 15 des Ergänzungsübereinkommens umsatz- oder verbrauchsteuerfrei oder unter Vergütung der Verbrauchsteuer oder</w:t>
      </w:r>
    </w:p>
    <w:p>
      <w:pPr>
        <w:ind w:left="420"/>
      </w:pPr>
      <w:r>
        <w:t xml:space="preserve">2. nach den Vorschriften des Energiesteuergesetzes und der Energiesteuer-Durchführungsverordnung unter Vergütung der Verbrauchsteuer</w:t>
      </w:r>
    </w:p>
    <w:p>
      <w:r>
        <w:t xml:space="preserve">geliefert werden.</w:t>
      </w:r>
    </w:p>
    <w:p>
      <w:r>
        <w:t xml:space="preserve">(3) Unionswaren, die unter Gewährung von Ausfuhrerstattung an die ausländischen Streitkräfte oder Hauptquartiere geliefert werden, gehen mit der Lieferung an die Streitkräfte in die Truppenverwendung über und werden wie Nicht-Unionswaren behandelt. Sie gelten als von den ausländischen Streitkräften oder Hauptquartieren zu ihrer ausschließlichen Verwendung frei von Einfuhrabgaben eingeführt und in die Truppenverwendung übergeführt. Sie stehen ab dem Zeitpunkt der Lieferung an die ausländischen Streitkräfte oder Hauptquartiere unter zollamtlicher Überwachung.</w:t>
      </w:r>
    </w:p>
    <w:p>
      <w:r>
        <w:rPr>
          <w:color w:val="555555"/>
          <w:sz w:val="17"/>
        </w:rPr>
        <w:t xml:space="preserve">Zitiervorschlag: § 9 TrZollG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https://recht.nulegal.eu/gesetze/TrZollG/9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