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TrZollG — Bußgeldvorschriften</w:t>
      </w:r>
    </w:p>
    <w:p>
      <w:r>
        <w:rPr>
          <w:color w:val="555555"/>
          <w:sz w:val="18"/>
        </w:rPr>
        <w:t xml:space="preserve">Truppenzollgesetz</w:t>
      </w:r>
    </w:p>
    <w:p>
      <w:r>
        <w:rPr>
          <w:color w:val="555555"/>
          <w:sz w:val="18"/>
        </w:rPr>
        <w:t xml:space="preserve">Stand: 01.04.2026 (konsolidierte Textfassung, kein amtliches Inkrafttretensdatum)</w:t>
      </w:r>
    </w:p>
    <w:p>
      <w:r>
        <w:t xml:space="preserve">(1) Ordnungswidrig handelt, wer vorsätzlich oder fahrlässig</w:t>
      </w:r>
    </w:p>
    <w:p>
      <w:pPr>
        <w:ind w:left="420"/>
      </w:pPr>
      <w:r>
        <w:t xml:space="preserve">1. entgegen § 13 Absatz 2 Satz 1 eine dort genannte Ware einer neuen zollrechtlichen Bestimmung zuführt oder diese ausführt,</w:t>
      </w:r>
    </w:p>
    <w:p>
      <w:pPr>
        <w:ind w:left="420"/>
      </w:pPr>
      <w:r>
        <w:t xml:space="preserve">2. entgegen § 16 Absatz 1 Satz 1, auch in Verbindung mit § 16 Absatz 2, eine Anzeige nicht, nicht richtig, nicht vollständig oder nicht rechtzeitig erstattet oder eine Einfuhrware nicht oder nicht rechtzeitig gestellt,</w:t>
      </w:r>
    </w:p>
    <w:p>
      <w:pPr>
        <w:ind w:left="420"/>
      </w:pPr>
      <w:r>
        <w:t xml:space="preserve">3. entgegen § 16 Absatz 3 eine Einfuhrware übergibt,</w:t>
      </w:r>
    </w:p>
    <w:p>
      <w:pPr>
        <w:ind w:left="420"/>
      </w:pPr>
      <w:r>
        <w:t xml:space="preserve">4. entgegen § 17 Absatz 1 eine Einfuhrware verwendet oder</w:t>
      </w:r>
    </w:p>
    <w:p>
      <w:pPr>
        <w:ind w:left="420"/>
      </w:pPr>
      <w:r>
        <w:t xml:space="preserve">5. einer Rechtsverordnung nach § 25 Absatz 1 Nummer 1, 3, 5 oder 6 oder einer vollziehbaren Anordnung aufgrund einer solchen Rechtsverordnung zuwiderhandelt, soweit die Rechtsverordnung für einen bestimmten Tatbestand auf diese Bußgeldvorschrift verweist.</w:t>
      </w:r>
    </w:p>
    <w:p>
      <w:r>
        <w:t xml:space="preserve">(2) Ordnungswidrig handelt, wer vorsätzlich oder fahrlässig einer unmittelbar geltenden Vorschrift in Rechtsakten der Europäischen Union zuwiderhandelt, die inhaltlich</w:t>
      </w:r>
    </w:p>
    <w:p>
      <w:pPr>
        <w:ind w:left="420"/>
      </w:pPr>
      <w:r>
        <w:t xml:space="preserve">1. einem in Absatz 1 Nummer 1 bis 4 bezeichneten Gebot oder Verbot entspricht oder</w:t>
      </w:r>
    </w:p>
    <w:p>
      <w:pPr>
        <w:ind w:left="420"/>
      </w:pPr>
      <w:r>
        <w:t xml:space="preserve">2. einer Regelung entspricht, zu der die in Absatz 1 Nummer 5 genannten Vorschriften ermächtigen,</w:t>
      </w:r>
    </w:p>
    <w:p>
      <w:r>
        <w:t xml:space="preserve">soweit eine Rechtsverordnung nach Absatz 4 für einen bestimmten Tatbestand auf diese Bußgeldvorschrift verweist.</w:t>
      </w:r>
    </w:p>
    <w:p>
      <w:r>
        <w:t xml:space="preserve">(3) Die Ordnungswidrigkeit kann mit einer Geldbuße bis zu dreißigtausend Euro geahndet werden.</w:t>
      </w:r>
    </w:p>
    <w:p>
      <w:r>
        <w:t xml:space="preserve">(4) Das Bundesministerium der Finanzen wird ermächtigt, soweit dies zur Durchsetzung der Rechtsakte der Europäischen Union erforderlich ist, durch Rechtsverordnung ohne Zustimmung des Bundesrates die Tatbestände zu bezeichnen, die als Ordnungswidrigkeit nach Absatz 2 geahndet werden können.</w:t>
      </w:r>
    </w:p>
    <w:p>
      <w:r>
        <w:t xml:space="preserve">(5) Verwaltungsbehörde im Sinne des § 36 Absatz 1 Nummer 1 des Gesetzes über Ordnungswidrigkeiten ist das Hauptzollamt.</w:t>
      </w:r>
    </w:p>
    <w:p>
      <w:r>
        <w:t xml:space="preserve">(6) Die Absätze 1 und 2 finden keine Anwendung auf ausländische Streitkräfte oder Hauptquartiere. Die Regelungen des NATO-Truppenstatuts, des Zusatzabkommens und des Unterzeichnungsprotokolls zur Ausübung der Strafgerichtsbarkeit bleiben unberührt.</w:t>
      </w:r>
    </w:p>
    <w:p>
      <w:r>
        <w:t xml:space="preserve">(7) Die Hauptzollämter und ihre Beamten haben bei Ordnungswidrigkeiten nach den Absätzen 1 und 2 dieselben Rechte und Pflichten wie die Behörden und Beamten des Polizeidienstes nach dem Gesetz über Ordnungswidrigkeiten; die Beamten sind insoweit Ermittlungspersonen der Staatsanwaltschaft.</w:t>
      </w:r>
    </w:p>
    <w:p>
      <w:r>
        <w:rPr>
          <w:color w:val="555555"/>
          <w:sz w:val="17"/>
        </w:rPr>
        <w:t xml:space="preserve">Zitiervorschlag: § 26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