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TrZollG — Harmonisierungsvorschrift für Waren aus anderen Mitgliedstaaten</w:t>
      </w:r>
    </w:p>
    <w:p>
      <w:r>
        <w:rPr>
          <w:color w:val="555555"/>
          <w:sz w:val="18"/>
        </w:rPr>
        <w:t xml:space="preserve">Truppenzollgesetz</w:t>
      </w:r>
    </w:p>
    <w:p>
      <w:r>
        <w:rPr>
          <w:color w:val="555555"/>
          <w:sz w:val="18"/>
        </w:rPr>
        <w:t xml:space="preserve">Stand: 01.04.2026 (konsolidierte Textfassung, kein amtliches Inkrafttretensdatum)</w:t>
      </w:r>
    </w:p>
    <w:p>
      <w:r>
        <w:t xml:space="preserve">(1) Waren der Mitglieder der ausländischen Streitkräfte oder der Hauptquartiere in einem anderen Mitgliedstaat, die dort</w:t>
      </w:r>
    </w:p>
    <w:p>
      <w:pPr>
        <w:ind w:left="420"/>
      </w:pPr>
      <w:r>
        <w:t xml:space="preserve">1. nach Artikel XI des NATO-Truppenstatuts, den Artikeln 2 und 8 des Hauptquartierprotokolls oder den Bestimmungen anderer, dem Zusatzabkommen, Ergänzungsabkommen oder dem Statusübereinkommen vergleichbarer völkerrechtlicher Vereinbarungen einfuhrabgabenbegünstigt aus einem Drittland eingeführt, aus einem Mitgliedstaat eingeführt oder bezogen wurden und</w:t>
      </w:r>
    </w:p>
    <w:p>
      <w:pPr>
        <w:ind w:left="420"/>
      </w:pPr>
      <w:r>
        <w:t xml:space="preserve">2. nicht zur weiteren Verwendung nach den vorgenannten Bestimmungen in den Geltungsbereich dieses Gesetzes aus einem Mitgliedstaat eingeführt werden,</w:t>
      </w:r>
    </w:p>
    <w:p>
      <w:r>
        <w:t xml:space="preserve">gelten mit der Einfuhr als in die vorübergehende Verwendung unter vollständiger Befreiung von den Einfuhrabgaben nach den Bestimmungen des Zollkodex der Union, der Delegierten Verordnung zum Zollkodex, der Durchführungsverordnung zum Zollkodex und der Übergangsverordnung zum Zollkodex übergeführt. Diese vorübergehende Verwendung endet auch mit der Ausfuhr in einen anderen Mitgliedstaat.</w:t>
      </w:r>
    </w:p>
    <w:p>
      <w:r>
        <w:t xml:space="preserve">(2) Absatz 1 findet keine Anwendung, sofern das Recht des anderen Mitgliedstaats abweichende Regelungen für die in Absatz 1 genannten Fälle vorsieht.</w:t>
      </w:r>
    </w:p>
    <w:p>
      <w:r>
        <w:rPr>
          <w:color w:val="555555"/>
          <w:sz w:val="17"/>
        </w:rPr>
        <w:t xml:space="preserve">Zitiervorschlag: § 22 TrZollG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