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TrZollG — Grundsatz, Geltungsbereich, Truppenverwendung</w:t>
      </w:r>
    </w:p>
    <w:p>
      <w:r>
        <w:rPr>
          <w:color w:val="555555"/>
          <w:sz w:val="18"/>
        </w:rPr>
        <w:t xml:space="preserve">Truppenzollgesetz</w:t>
      </w:r>
    </w:p>
    <w:p>
      <w:r>
        <w:rPr>
          <w:color w:val="555555"/>
          <w:sz w:val="18"/>
        </w:rPr>
        <w:t xml:space="preserve">Stand: 01.04.2026 (konsolidierte Textfassung, kein amtliches Inkrafttretensdatum)</w:t>
      </w:r>
    </w:p>
    <w:p>
      <w:r>
        <w:t xml:space="preserve">(1) Dieses Gesetz dient der Ausführung der zoll- und umsatzsteuerlichen Bestimmungen des NATO-Truppenstatuts, des Zusatzabkommens, des Hautquartierprotokolls, des Ergänzungsabkommens, des Statusübereinkommens und des Unterzeichnungsprotokolls sowie der dazu geschlossenen Verwaltungsvereinbarungen. Die Regelungen der genannten Abkommen finden uneingeschränkt Anwendung. Die dort genannten Vergünstigungen für die ausländischen Streitkräfte, deren Mitglieder oder für die Hauptquartiere und deren Mitglieder werden durch dieses Gesetz nicht berührt.</w:t>
      </w:r>
    </w:p>
    <w:p>
      <w:r>
        <w:t xml:space="preserve">(2) Dieses Gesetz gilt im deutschen Teil des Zollgebiets der Union im Sinne des Artikels 4 fünfter Anstrich des Zollkodex der Union.</w:t>
      </w:r>
    </w:p>
    <w:p>
      <w:r>
        <w:t xml:space="preserve">(3) Die Truppenverwendung ist ein nationales Zollverfahren. Sie gilt als Zollverfahren im Sinne des Zollkodex der Union. Der Zollkodex der Union, die Delegierte Verordnung zum Zollkodex und die Durchführungsverordnung zum Zollkodex finden Anwendung, soweit in den in Absatz 1 genannten Abkommen und den dazu geschlossenen Verwaltungsvereinbarungen in diesem Gesetz oder in der Rechtsverordnung zu diesem Gesetz nichts anderes geregelt ist. Jede aus einer Einfuhrware hergestellte oder gewonnene Ware gilt als Nicht-Unionsware und als in die Truppenverwendung übergeführt.</w:t>
      </w:r>
    </w:p>
    <w:p>
      <w:r>
        <w:rPr>
          <w:color w:val="555555"/>
          <w:sz w:val="17"/>
        </w:rPr>
        <w:t xml:space="preserve">Zitiervorschlag: § 2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