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TrZollG — Zollrechtlicher Status der Waren, Vermutung</w:t>
      </w:r>
    </w:p>
    <w:p>
      <w:r>
        <w:rPr>
          <w:color w:val="555555"/>
          <w:sz w:val="18"/>
        </w:rPr>
        <w:t xml:space="preserve">Truppenzollgesetz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Soweit nichts anderes nachgewiesen ist, wird von Waren im Besitz der ausländischen Streitkräfte, Hauptquartiere oder ihrer Mitglieder vermutet, dass sie Nicht-Unionswaren in der Truppenverwendung sind.</w:t>
      </w:r>
    </w:p>
    <w:p>
      <w:r>
        <w:rPr>
          <w:color w:val="555555"/>
          <w:sz w:val="17"/>
        </w:rPr>
        <w:t xml:space="preserve">Zitiervorschlag: § 12 TrZollG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https://recht.nulegal.eu/gesetze/TrZollG/12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