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TrVerjG</w:t>
      </w:r>
    </w:p>
    <w:p>
      <w:r>
        <w:rPr>
          <w:color w:val="555555"/>
          <w:sz w:val="18"/>
        </w:rPr>
        <w:t xml:space="preserve">Gesetz zur Regelung der Verjährung von Ansprüchen wegen unberechtigter oder rechtswidriger Erlangung von Gegenwerten aus Transferrubelgeschäften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wegen unberechtigter oder rechtswidriger Erlangung von DM-Gegenwerten aus der Verrechnung von Transferrubeln bzw. bilateralen Clearingrubeln verjähren unabhängig von ihrem Rechtsgrund in zehn Jahren von dem Zeitpunkt an, in dem die für die Geltendmachung der DM-Forderungen zuständige Stelle von den den Anspruch begründenden Tatsachen und der Person des Verpflichteten Kenntnis erlangt, ohne Rücksicht auf diese Kenntnis mit Ablauf des 31. Dezember 2020.</w:t>
      </w:r>
    </w:p>
    <w:p>
      <w:r>
        <w:t xml:space="preserve">(2) Für die Verjährung von Ansprüchen auf die Zahlung von DM-Gegenwerten aus Importgeschäften auf Transferrubel- beziehungsweise Clearingrubelbasis ist Absatz 1 entsprechend anzuwenden.</w:t>
      </w:r>
    </w:p>
    <w:p>
      <w:r>
        <w:rPr>
          <w:color w:val="555555"/>
          <w:sz w:val="17"/>
        </w:rPr>
        <w:t xml:space="preserve">Zitiervorschlag: (XXXX) TrVerjG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https://recht.nulegal.eu/gesetze/TrVerjG/(xxxx)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