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TrGebV 2020 — Inkrafttreten, Außerkrafttreten</w:t>
      </w:r>
    </w:p>
    <w:p>
      <w:r>
        <w:rPr>
          <w:color w:val="555555"/>
          <w:sz w:val="18"/>
        </w:rPr>
        <w:t xml:space="preserve">Transparenzregistergebührenverordnung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Diese Verordnung tritt vorbehaltlich des Absatzes 2 am Tag nach der Verkündung in Kraft.</w:t>
      </w:r>
    </w:p>
    <w:p>
      <w:r>
        <w:t xml:space="preserve">(2) In der Anlage (Gebührenverzeichnis) tritt Nummer 4 am 1. Juli 2020 in Kraft.</w:t>
      </w:r>
    </w:p>
    <w:p>
      <w:r>
        <w:t xml:space="preserve">(3) Gleichzeitig mit dem Inkrafttreten nach Absatz 1 tritt die Transparenzregistergebührenverordnung vom 19. Dezember 2017 (BGBl. I S. 3982) außer Kraft.</w:t>
      </w:r>
    </w:p>
    <w:p>
      <w:r>
        <w:rPr>
          <w:color w:val="555555"/>
          <w:sz w:val="17"/>
        </w:rPr>
        <w:t xml:space="preserve">Zitiervorschlag: § 5 TrGebV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https://recht.nulegal.eu/gesetze/TrGebV%202020/5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