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TrEinV 2023</w:t>
      </w:r>
    </w:p>
    <w:p>
      <w:r>
        <w:rPr>
          <w:color w:val="555555"/>
          <w:sz w:val="18"/>
        </w:rPr>
        <w:t xml:space="preserve">Transparenzregistereinsichtnahmeverordnung</w:t>
      </w:r>
    </w:p>
    <w:p>
      <w:r>
        <w:rPr>
          <w:color w:val="555555"/>
          <w:sz w:val="18"/>
        </w:rPr>
        <w:t xml:space="preserve">Stand: 23.03.2023 (konsolidierte Textfassung, kein amtliches Inkrafttretensdatum)</w:t>
      </w:r>
    </w:p>
    <w:p>
      <w:r>
        <w:t xml:space="preserve">Auf Grund des § 23 Absatz 7 des Geldwäschegesetzes, der zuletzt durch Artikel 1 Nummer 21 Buchstabe f des Gesetzes vom 25. Juni 2021 (BGBl. I S. 2083) neu gefasst worden ist, verordnet das Bundesministerium der Finanzen:</w:t>
      </w:r>
    </w:p>
    <w:p>
      <w:r>
        <w:rPr>
          <w:color w:val="555555"/>
          <w:sz w:val="17"/>
        </w:rPr>
        <w:t xml:space="preserve">Zitiervorschlag: Eingangsformel TrEinV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https://recht.nulegal.eu/gesetze/TrEinV%202023/eingangsformel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