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TrEinV 2023 — Pflicht zur Mitteilung bei Änderung der Registrierungsdaten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Stand: 23.03.2023 (konsolidierte Textfassung, kein amtliches Inkrafttretensdatum)</w:t>
      </w:r>
    </w:p>
    <w:p>
      <w:r>
        <w:t xml:space="preserve">Kommt es zu einer Änderung bei den Registrierungsdaten nach § 2 Absatz 4, so ist der Nutzer verpflichtet, die entsprechenden Angaben im Transparenzregister unverzüglich zu ändern.</w:t>
      </w:r>
    </w:p>
    <w:p>
      <w:r>
        <w:rPr>
          <w:color w:val="555555"/>
          <w:sz w:val="17"/>
        </w:rPr>
        <w:t xml:space="preserve">Zitiervorschlag: § 4 TrEinV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https://recht.nulegal.eu/gesetze/TrEinV%202023/4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