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TrEinV 2023 — Antrag auf Beschränkung der Einsichtnahme</w:t>
      </w:r>
    </w:p>
    <w:p>
      <w:r>
        <w:rPr>
          <w:color w:val="555555"/>
          <w:sz w:val="18"/>
        </w:rPr>
        <w:t xml:space="preserve">Transparenzregistereinsichtnahmeverordnung</w:t>
      </w:r>
    </w:p>
    <w:p>
      <w:r>
        <w:rPr>
          <w:color w:val="555555"/>
          <w:sz w:val="18"/>
        </w:rPr>
        <w:t xml:space="preserve">Stand: 23.03.2023 (konsolidierte Textfassung, kein amtliches Inkrafttretensdatum)</w:t>
      </w:r>
    </w:p>
    <w:p>
      <w:r>
        <w:t xml:space="preserve">(1) Der Antrag eines wirtschaftlich Berechtigten auf vollständige oder teilweise Beschränkung der Einsichtnahme nach § 23 Absatz 2 des Geldwäschegesetzes bedarf der Schriftform. Der Antrag ist zu begründen. Er kann elektronisch oder auf postalischem Weg gestellt werden. Soll der Antrag elektronisch gestellt werden, so ist er an die E-Mail-Adresse zu senden, die dafür auf der Internetseite des Transparenzregisters www.transparenzregister.de ausgewiesen ist.</w:t>
      </w:r>
    </w:p>
    <w:p>
      <w:r>
        <w:t xml:space="preserve">(2) Bei der Antragstellung sind folgende Daten erforderlich:</w:t>
      </w:r>
    </w:p>
    <w:p>
      <w:pPr>
        <w:ind w:left="420"/>
      </w:pPr>
      <w:r>
        <w:t xml:space="preserve">1. der Vor- und Nachname des wirtschaftlich Berechtigten,</w:t>
      </w:r>
    </w:p>
    <w:p>
      <w:pPr>
        <w:ind w:left="420"/>
      </w:pPr>
      <w:r>
        <w:t xml:space="preserve">2. die Bezeichnung derjenigen Vereinigung nach § 20 des Geldwäschegesetzes oder der Rechtsgestaltung nach § 21 des Geldwäschegesetzes, für die die Beschränkung der Einsichtnahme beantragt wird,</w:t>
      </w:r>
    </w:p>
    <w:p>
      <w:pPr>
        <w:ind w:left="420"/>
      </w:pPr>
      <w:r>
        <w:t xml:space="preserve">3. die Darlegung der überwiegenden schutzwürdigen Interessen nach § 23 Absatz 2 des Geldwäschegesetzes und</w:t>
      </w:r>
    </w:p>
    <w:p>
      <w:pPr>
        <w:ind w:left="420"/>
      </w:pPr>
      <w:r>
        <w:t xml:space="preserve">4. die Anschrift, Telefonnummer und E-Mail-Adresse des wirtschaftlich Berechtigten oder, sofern der wirtschaftlich Berechtigte einen Bevollmächtigten mit Empfangsvollmacht beauftragt, dessen Vor- und Nachname sowie dessen Anschrift, Telefonnummer und E-Mail-Adresse.</w:t>
      </w:r>
    </w:p>
    <w:p>
      <w:r>
        <w:t xml:space="preserve">(3) Macht der wirtschaftlich Berechtigte Minderjährigkeit als schutzwürdiges Interesse nach § 23 Absatz 2 Satz 2 Nummer 2 des Geldwäschegesetzes geltend, so muss er eine Kopie der Geburtsurkunde oder eines gültigen amtlichen Ausweises nach § 3 Absatz 2 Nummer 1 Buchstabe a, der das Geburtsdatum erkennen lässt, einreichen.</w:t>
      </w:r>
    </w:p>
    <w:p>
      <w:r>
        <w:t xml:space="preserve">(4) Macht der wirtschaftlich Berechtigte Geschäftsunfähigkeit als schutzwürdiges Interesse nach § 23 Absatz 2 Satz 2 Nummer 2 des Geldwäschegesetzes geltend, so muss ein Nachweis beigebracht werden, aus dem sich die Geschäftsunfähigkeit ergibt.</w:t>
      </w:r>
    </w:p>
    <w:p>
      <w:r>
        <w:rPr>
          <w:color w:val="555555"/>
          <w:sz w:val="17"/>
        </w:rPr>
        <w:t xml:space="preserve">Zitiervorschlag: § 11 TrEinV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https://recht.nulegal.eu/gesetze/TrEinV%202023/11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