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TrEinV 2023 — Einsichtnahme in das Transparenzregister</w:t>
      </w:r>
    </w:p>
    <w:p>
      <w:r>
        <w:rPr>
          <w:color w:val="555555"/>
          <w:sz w:val="18"/>
        </w:rPr>
        <w:t xml:space="preserve">Transparenzregistereinsichtnahmeverordnung</w:t>
      </w:r>
    </w:p>
    <w:p>
      <w:r>
        <w:rPr>
          <w:color w:val="555555"/>
          <w:sz w:val="18"/>
        </w:rPr>
        <w:t xml:space="preserve">Stand: 23.03.2023 (konsolidierte Textfassung, kein amtliches Inkrafttretensdatum)</w:t>
      </w:r>
    </w:p>
    <w:p>
      <w:r>
        <w:t xml:space="preserve">(1) Die Einsichtnahme in das Transparenzregister ist</w:t>
      </w:r>
    </w:p>
    <w:p>
      <w:pPr>
        <w:ind w:left="420"/>
      </w:pPr>
      <w:r>
        <w:t xml:space="preserve">1. in den Fällen des § 23 Absatz 1 des Geldwäschegesetzes ausschließlich über die Internetseite des Transparenzregisters www.transparenzregister.de möglich und</w:t>
      </w:r>
    </w:p>
    <w:p>
      <w:pPr>
        <w:ind w:left="420"/>
      </w:pPr>
      <w:r>
        <w:t xml:space="preserve">2. in den Fällen des § 23 Absatz 3 des Geldwäschegesetzes ausschließlich über die von der registerführenden Stelle vorgegebenen Schnittstellen möglich.</w:t>
      </w:r>
    </w:p>
    <w:p>
      <w:r>
        <w:t xml:space="preserve">(2) Die registerführende Stelle hat zu gewährleisten, dass die im Transparenzregister zugänglichen Daten so dargestellt werden, dass deutlich wird, dass es sich um einen Datenabruf aus dem Originalbestand des Transparenzregisters selbst oder aus den Registern, die über das Transparenzregister zugänglich sind, handelt.</w:t>
      </w:r>
    </w:p>
    <w:p>
      <w:r>
        <w:t xml:space="preserve">(3) Die registerführende Stelle hat zu gewährleisten, dass die im Transparenzregister zugänglichen Daten nach § 22 Absatz 1 des Geldwäschegesetzes sowie Bestätigungen nach § 18 Absatz 4 des Geldwäschegesetzes vom Nutzer ausgedruckt oder als elektronische Datei bezogen werden können. Sie hat weiterhin zu gewährleisten, dass derartige Vervielfältigungen</w:t>
      </w:r>
    </w:p>
    <w:p>
      <w:pPr>
        <w:ind w:left="420"/>
      </w:pPr>
      <w:r>
        <w:t xml:space="preserve">1. mit einem Vermerk versehen sind, der die Herkunft aus dem Transparenzregister erkennen lässt, und</w:t>
      </w:r>
    </w:p>
    <w:p>
      <w:pPr>
        <w:ind w:left="420"/>
      </w:pPr>
      <w:r>
        <w:t xml:space="preserve">2. mit dem Tag der Erstellung gekennzeichnet sind.</w:t>
      </w:r>
    </w:p>
    <w:p>
      <w:r>
        <w:t xml:space="preserve">(4) Bei einer nach § 23 Absatz 2 des Geldwäschegesetzes beschränkten Einsichtnahme hat die registerführende Stelle auf einem Auszug des Transparenzregisters für eine Vereinigung nach § 20 Absatz 1 des Geldwäschegesetzes oder eine Rechtsgestaltung nach § 21 des Geldwäschegesetzes darauf hinzuweisen, dass Angaben zum wirtschaftlich Berechtigten aufgrund einer Beschränkung ganz oder teilweise nicht eingesehen werden dürfen.</w:t>
      </w:r>
    </w:p>
    <w:p>
      <w:r>
        <w:rPr>
          <w:color w:val="555555"/>
          <w:sz w:val="17"/>
        </w:rPr>
        <w:t xml:space="preserve">Zitiervorschlag: § 1 TrEinV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https://recht.nulegal.eu/gesetze/TrEinV%202023/1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TrEinV 2023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