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TrDüV</w:t>
      </w:r>
    </w:p>
    <w:p>
      <w:r>
        <w:rPr>
          <w:color w:val="555555"/>
          <w:sz w:val="18"/>
        </w:rPr>
        <w:t xml:space="preserve">Transparenzregisterdatenübermittlungsverordnung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22 Absatz 4 des Geldwäschegesetzes vom 23. Juni 2017 (BGBl. I S. 1822) verordnet das Bundesministerium der Finanzen im Benehmen mit dem Bundesministerium der Justiz und für Verbraucherschutz:</w:t>
      </w:r>
    </w:p>
    <w:p>
      <w:r>
        <w:rPr>
          <w:color w:val="555555"/>
          <w:sz w:val="17"/>
        </w:rPr>
        <w:t xml:space="preserve">Zitiervorschlag: Eingangsformel TrDüV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https://recht.nulegal.eu/gesetze/TrD%C3%BCV/eingangsformel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