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TrDüV — Inkrafttreten</w:t>
      </w:r>
    </w:p>
    <w:p>
      <w:r>
        <w:rPr>
          <w:color w:val="555555"/>
          <w:sz w:val="18"/>
        </w:rPr>
        <w:t xml:space="preserve">Transparenzregisterdatenübermittlungsverordnung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TrDüV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https://recht.nulegal.eu/gesetze/TrD%C3%BCV/7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