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TrDüV — Übermittlung der Indexdaten durch den Betreiber des Unternehmensregisters</w:t>
      </w:r>
    </w:p>
    <w:p>
      <w:r>
        <w:rPr>
          <w:color w:val="555555"/>
          <w:sz w:val="18"/>
        </w:rPr>
        <w:t xml:space="preserve">Transparenzregisterdatenübermittlungsverordnung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Ermöglichung des Zugangs zu Bekanntmachungen nach § 22 Absatz 1 Satz 1 Nummer 2 des Geldwäschegesetzes und Stimmrechtsmitteilungen nach § 22 Absatz 1 Satz 1 Nummer 3 des Geldwäschegesetzes übermittelt der Betreiber des Unternehmensregisters der registerführenden Stelle folgende Indexdaten:</w:t>
      </w:r>
    </w:p>
    <w:p>
      <w:pPr>
        <w:ind w:left="420"/>
      </w:pPr>
      <w:r>
        <w:t xml:space="preserve">1. Registerart, Registergericht und Registernummer sowie ein Ortskennzeichen, soweit vorhanden,</w:t>
      </w:r>
    </w:p>
    <w:p>
      <w:pPr>
        <w:ind w:left="420"/>
      </w:pPr>
      <w:r>
        <w:t xml:space="preserve">2. Firma oder Name des Unternehmens, bei Zweigniederlassungen die betreffenden Daten der Zweigniederlassung,</w:t>
      </w:r>
    </w:p>
    <w:p>
      <w:pPr>
        <w:ind w:left="420"/>
      </w:pPr>
      <w:r>
        <w:t xml:space="preserve">3. Rechtsform des Unternehmens,</w:t>
      </w:r>
    </w:p>
    <w:p>
      <w:pPr>
        <w:ind w:left="420"/>
      </w:pPr>
      <w:r>
        <w:t xml:space="preserve">4. Sitz und, soweit vorhanden, Anschrift des Unternehmens, bei Zweigniederlassungen die betreffenden Daten der Zweigniederlassung sowie</w:t>
      </w:r>
    </w:p>
    <w:p>
      <w:pPr>
        <w:ind w:left="420"/>
      </w:pPr>
      <w:r>
        <w:t xml:space="preserve">5. Verfügbarkeit der Bekanntmachungen des Bestehens einer Beteiligung nach § 20 Absatz 6 des Aktiengesetzes und Verfügbarkeit der Stimmrechtsmitteilungen nach den §§ 26 und 26a des Wertpapierhandelsgesetzes zu den jeweiligen Unternehmen.</w:t>
      </w:r>
    </w:p>
    <w:p>
      <w:r>
        <w:t xml:space="preserve">Der Betreiber des Unternehmensregisters hat die Befugnis, die Indexdaten, die ihm nach den §§ 5 bis 7 der Unternehmensregisterverordnung von den Landesjustizverwaltungen übermittelt worden sind, zur Übermittlung nach Satz 1 an die registerführende Stelle zu verwenden.</w:t>
      </w:r>
    </w:p>
    <w:p>
      <w:r>
        <w:t xml:space="preserve">(2) Die Indexdaten sind in einem strukturierten Format zu übermitteln, das zwischen dem Betreiber des Transparenzregisters und dem Betreiber des Unternehmensregisters vereinbart worden ist.</w:t>
      </w:r>
    </w:p>
    <w:p>
      <w:r>
        <w:t xml:space="preserve">(3) Für die Übermittlung der Indexdaten ist eine nach dem Stand der Technik gesicherte Internetverbindung zu nutzen, die zwischen dem Betreiber des Transparenzregisters und dem Betreiber des Unternehmensregisters vereinbart worden ist.</w:t>
      </w:r>
    </w:p>
    <w:p>
      <w:r>
        <w:t xml:space="preserve">(4) Der Betreiber des Unternehmensregisters stellt sicher, dass die von ihm übermittelten Indexdaten den Zugang zu den Originaldaten nach § 22 Absatz 1 Satz 1 Nummer 2 und 3 des Geldwäschegesetzes im Transparenzregister ermöglichen, ohne dass der Betreiber des Transparenzregisters die Indexdaten aufbereiten oder verändern muss.</w:t>
      </w:r>
    </w:p>
    <w:p>
      <w:r>
        <w:rPr>
          <w:color w:val="555555"/>
          <w:sz w:val="17"/>
        </w:rPr>
        <w:t xml:space="preserve">Zitiervorschlag: § 4 TrDüV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https://recht.nulegal.eu/gesetze/TrD%C3%BCV/4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