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TourKfmAusbV — Struktur der Berufsausbildung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gliedert sich in</w:t>
      </w:r>
    </w:p>
    <w:p>
      <w:pPr>
        <w:ind w:left="420"/>
      </w:pPr>
      <w:r>
        <w:t xml:space="preserve">1. Pflichtqualifikationseinheiten gemäß § 5 Abs. 1 Nr. 1 bis 8 sowie</w:t>
      </w:r>
    </w:p>
    <w:p>
      <w:pPr>
        <w:ind w:left="420"/>
      </w:pPr>
      <w:r>
        <w:t xml:space="preserve">2. eine im Ausbildungsvertrag festzulegende Wahlqualifikationseinheit gemäß § 5 Abs. 2 Nr. 1 oder 2.</w:t>
      </w:r>
    </w:p>
    <w:p>
      <w:r>
        <w:rPr>
          <w:color w:val="555555"/>
          <w:sz w:val="17"/>
        </w:rPr>
        <w:t xml:space="preserve">Zitiervorschlag: § 4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