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TollwV 1991 — Kennzeichnung</w:t>
      </w:r>
    </w:p>
    <w:p>
      <w:r>
        <w:rPr>
          <w:color w:val="555555"/>
          <w:sz w:val="18"/>
        </w:rPr>
        <w:t xml:space="preserve">Tollwut-Verordnung</w:t>
      </w:r>
    </w:p>
    <w:p>
      <w:r>
        <w:rPr>
          <w:color w:val="555555"/>
          <w:sz w:val="18"/>
        </w:rPr>
        <w:t xml:space="preserve">Stand: 10.06.2019 (konsolidierte Textfassung, kein amtliches Inkrafttretensdatum)</w:t>
      </w:r>
    </w:p>
    <w:p>
      <w:r>
        <w:t xml:space="preserve">In einem gefährdeten Bezirk ist es verboten, Hunde außerhalb geschlossener Räume frei laufen zu lassen oder mit sich zu führen, wenn sie nicht ein Halsband, einen Gurt oder ein sonstiges Hundegeschirr tragen, auf oder an dem Name und Anschrift des Besitzers angegeben sind oder an dem eine Steuermarke befestigt ist. Dies gilt nicht für Hunde auf umfriedeten Grundstücken, von denen sie nicht entweichen können, und für Jagdhunde bei jagdlicher Verwendung.</w:t>
      </w:r>
    </w:p>
    <w:p>
      <w:r>
        <w:rPr>
          <w:color w:val="555555"/>
          <w:sz w:val="17"/>
        </w:rPr>
        <w:t xml:space="preserve">Zitiervorschlag: § 5 TollwV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https://recht.nulegal.eu/gesetze/TollwV%201991/5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