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TollwV 1991 — Behördliche Beobachtung</w:t>
      </w:r>
    </w:p>
    <w:p>
      <w:r>
        <w:rPr>
          <w:color w:val="555555"/>
          <w:sz w:val="18"/>
        </w:rPr>
        <w:t xml:space="preserve">Tollwut-Verordnung</w:t>
      </w:r>
    </w:p>
    <w:p>
      <w:r>
        <w:rPr>
          <w:color w:val="555555"/>
          <w:sz w:val="18"/>
        </w:rPr>
        <w:t xml:space="preserve">Stand: 10.06.2019 (konsolidierte Textfassung, kein amtliches Inkrafttretensdatum)</w:t>
      </w:r>
    </w:p>
    <w:p>
      <w:r>
        <w:t xml:space="preserve">(1) Die Dauer der behördlichen Beobachtung nach § 9 Absatz 2 und 3 beträgt sechs Monate. Die zuständige Behörde kann die Dauer bis auf zwei Monate verkürzen, sofern die ansteckungsverdächtigen Tiere vor dem Zeitpunkt, an dem sie tatsächlich oder vermutlich mit tollwutkranken oder seuchenverdächtigen Tieren in Berührung gekommen sind, unter wirksamem Impfschutz standen und unverzüglich erneut gegen Tollwut geimpft werden. § 9 Absatz 3 Satz 3 gilt entsprechend.</w:t>
      </w:r>
    </w:p>
    <w:p>
      <w:r>
        <w:t xml:space="preserve">(2) Während der behördlichen Beobachtung darf das Tier nur mit Genehmigung der zuständigen Behörde von seinem Standort entfernt werden. Die Nutzung und der Weidegang von Einhufern, Rindern, Schweinen, Schafen und Ziegen sind gestattet; die Nutzung der Hunde bedarf der Genehmigung der zuständigen Behörde. Wird das Tier vom Standort entfernt, so unterliegt es der Beobachtung am neuen Standort.</w:t>
      </w:r>
    </w:p>
    <w:p>
      <w:r>
        <w:t xml:space="preserve">(3) Statt der behördlichen Beobachtung kann die zuständige Behörde für ansteckungsverdächtige Einhufer, Rinder, Schweine, Schafe und Ziegen die Tötung und unschädliche Beseitigung anordnen, sofern dies aus Gründen der Seuchenbekämpfung erforderlich ist.</w:t>
      </w:r>
    </w:p>
    <w:p>
      <w:r>
        <w:rPr>
          <w:color w:val="555555"/>
          <w:sz w:val="17"/>
        </w:rPr>
        <w:t xml:space="preserve">Zitiervorschlag: § 10 TollwV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https://recht.nulegal.eu/gesetze/TollwV%201991/10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