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TischlMstrV 2008</w:t>
      </w:r>
    </w:p>
    <w:p>
      <w:r>
        <w:rPr>
          <w:color w:val="555555"/>
          <w:sz w:val="18"/>
        </w:rPr>
        <w:t xml:space="preserve">Tischlermeisterverordnung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45 Abs. 1 der Handwerksordnung in der Fassung der Bekanntmachung vom 24. September 1998 (BGBl. I S. 3074, 2006 I S. 2095), der zuletzt durch Artikel 146 der Verordnung vom 31. Oktober 2006 (BGBl. I S. 2407)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TischlMstrV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https://recht.nulegal.eu/gesetze/TischlMstrV%202008/eingangsformel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