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TischlMstrV 2008 — Meisterprüfungsprojekt</w:t>
      </w:r>
    </w:p>
    <w:p>
      <w:r>
        <w:rPr>
          <w:color w:val="555555"/>
          <w:sz w:val="18"/>
        </w:rPr>
        <w:t xml:space="preserve">Tischlermeisterverordnung</w:t>
      </w:r>
    </w:p>
    <w:p>
      <w:r>
        <w:rPr>
          <w:color w:val="555555"/>
          <w:sz w:val="18"/>
        </w:rPr>
        <w:t xml:space="preserve">Stand: 10.06.2019 (konsolidierte Textfassung, kein amtliches Inkrafttretensdatum)</w:t>
      </w:r>
    </w:p>
    <w:p>
      <w:r>
        <w:t xml:space="preserve">(1) Der Prüfling hat ein Meisterprüfungsprojekt durchzuführen, das einem Kundenauftrag entspricht. Vorschläge des Prüflings für den Kundenauftrag sollen berücksichtigt werden. Die auftragsbezogenen Kundenanforderungen werden vom Meisterprüfungsausschuss festgelegt. Auf dieser Grundlage erarbeitet der Prüfling ein Umsetzungskonzept einschließlich einer Zeit- und Materialbedarfsplanung. Dieses hat er vor der Durchführung des Meisterprüfungsprojekts dem Meisterprüfungsausschuss zur Genehmigung vorzulegen. Der Meisterprüfungsausschuss prüft, ob das Umsetzungskonzept den auftragsbezogenen Kundenanforderungen entspricht.</w:t>
      </w:r>
    </w:p>
    <w:p>
      <w:r>
        <w:t xml:space="preserve">(2) Das Meisterprüfungsprojekt besteht aus Planungs-, Durchführungs- und Dokumentationsarbeiten.</w:t>
      </w:r>
    </w:p>
    <w:p>
      <w:r>
        <w:t xml:space="preserve">(3) Als Meisterprüfungsprojekt ist für</w:t>
      </w:r>
    </w:p>
    <w:p>
      <w:pPr>
        <w:ind w:left="420"/>
      </w:pPr>
      <w:r>
        <w:t xml:space="preserve">1. einen Innenausbau,</w:t>
      </w:r>
    </w:p>
    <w:p>
      <w:pPr>
        <w:ind w:left="420"/>
      </w:pPr>
      <w:r>
        <w:t xml:space="preserve">2. eine Inneneinrichtung,</w:t>
      </w:r>
    </w:p>
    <w:p>
      <w:pPr>
        <w:ind w:left="420"/>
      </w:pPr>
      <w:r>
        <w:t xml:space="preserve">3. ein Bauelement oder</w:t>
      </w:r>
    </w:p>
    <w:p>
      <w:pPr>
        <w:ind w:left="420"/>
      </w:pPr>
      <w:r>
        <w:t xml:space="preserve">4. einen Fassadenabschluss</w:t>
      </w:r>
    </w:p>
    <w:p>
      <w:r>
        <w:t xml:space="preserve">ein Konzept einschließlich der Entwurfs- und Planungsunterlagen zu erstellen. Aus diesem Konzept ist ein Erzeugnis oder ein Teilerzeugnis zu kalkulieren, zu fertigen und zu dokumentieren.</w:t>
      </w:r>
    </w:p>
    <w:p>
      <w:r>
        <w:t xml:space="preserve">(4) Die Entwurfs-, Planungs- und Kalkulationsunterlagen werden mit 40 Prozent, die durchgeführten Arbeiten mit 50 Prozent und die Dokumentationsunterlagen mit 10 Prozent gewichtet.</w:t>
      </w:r>
    </w:p>
    <w:p>
      <w:r>
        <w:rPr>
          <w:color w:val="555555"/>
          <w:sz w:val="17"/>
        </w:rPr>
        <w:t xml:space="preserve">Zitiervorschlag: § 4 TischlMstrV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https://recht.nulegal.eu/gesetze/TischlMstrV%202008/4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