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TischlAusbV 2006</w:t>
      </w:r>
    </w:p>
    <w:p>
      <w:r>
        <w:rPr>
          <w:color w:val="555555"/>
          <w:sz w:val="18"/>
        </w:rPr>
        <w:t xml:space="preserve">Verordnung über die Berufsausbildung zum Tischler/zur Tischlerin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25 Abs. 1 in Verbindung mit § 26 der Handwerksordnung in der Fassung der Bekanntmachung vom 14. September 1998 (BGBl. I S. 3074), die durch Artikel 2 Nr. 4 des Gesetzes vom 23. März 2005 (BGBl. I S. 931) neu gefasst worden sind, jeweils auch in Verbindung mit § 1 Abs. 2 des Zuständigkeitsanpassungsgesetzes vom 16. August 2002 (BGBl. I S. 3165) sowie dem Organisationserlass vom 22. November 2005 (BGBl. I S. 3197)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TischlAusbV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https://recht.nulegal.eu/gesetze/TischlAusbV%202006/eingangsformel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