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TischlAusbV 2006 — Zwischenprüfung</w:t>
      </w:r>
    </w:p>
    <w:p>
      <w:r>
        <w:rPr>
          <w:color w:val="555555"/>
          <w:sz w:val="18"/>
        </w:rPr>
        <w:t xml:space="preserve">Verordnung über die Berufsausbildung zum Tischler/zur Tischlerin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18 Monate aufgeführten Fertigkeiten, Kenntnisse und Fähigkeiten sowie auf den im Berufsschulunterricht entsprechend dem Rahmenlehrplan zu vermittelnden Lehrstoff, soweit er für die Berufsausbildung wesentlich ist.</w:t>
      </w:r>
    </w:p>
    <w:p>
      <w:r>
        <w:t xml:space="preserve">(3) Der Prüfling soll in insgesamt höchstens sechs Stunden eine Arbeitsaufgabe, die einem Kundenauftrag entspricht, durchführen sowie innerhalb dieser Zeit in insgesamt höchstens zehn Minuten hierüber ein Fachgespräch führen, das aus mehreren Gesprächsphasen bestehen kann. Weiterhin soll der Prüfling in insgesamt höchstens 150 Minuten Aufgaben schriftlich bearbeiten, die sich auf die Arbeitsaufgabe beziehen. Für die Arbeitsaufgabe kommt insbesondere in Betracht: Herstellen eines Werkstücks unter Anwendung manueller und maschineller Bearbeitungs- und Verbindungstechniken einschließlich Oberflächenbearbeitung. Durch die Durchführung der Arbeitsaufgabe, das Fachgespräch und die Bearbeitung der schriftlichen Aufgaben soll der Prüfling zeigen, dass er Arbeitsschritte und Arbeitsmittel festlegen, technische Unterlagen nutzen, Maßnahmen zur Sicherheit und zum Gesundheitsschutz bei der Arbeit, zum Umweltschutz und zur Qualitätssicherung anwenden sowie seine Vorgehensweise begründen kann.</w:t>
      </w:r>
    </w:p>
    <w:p>
      <w:r>
        <w:rPr>
          <w:color w:val="555555"/>
          <w:sz w:val="17"/>
        </w:rPr>
        <w:t xml:space="preserve">Zitiervorschlag: § 8 TischlAusbV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https://recht.nulegal.eu/gesetze/TischlAusbV%202006/8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TischlAusbV 2006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