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TilgVO (Nordrhein-Westfalen)</w:t>
      </w:r>
    </w:p>
    <w:p>
      <w:r>
        <w:rPr>
          <w:color w:val="555555"/>
          <w:sz w:val="18"/>
        </w:rPr>
        <w:t xml:space="preserve">Tilgungsverordnung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Dezember 2010</w:t>
      </w:r>
    </w:p>
    <w:p>
      <w:r>
        <w:t xml:space="preserve">(Artikel 1 der Verordnung vom 7. Dezember 2010 (GV. NRW. S. 663))</w:t>
      </w:r>
    </w:p>
    <w:p>
      <w:r>
        <w:t xml:space="preserve">Auf Grund des Artikels 293 des Einführungsgesetzes zum Strafgesetzbuch vom 2. März 1974 (BGBl. I S. 469, 1975 I S. 1916, 1976 I S. 507), zuletzt geändert durch Artikel 3 des Gesetzes vom 29. Juli 2009 (BGBl. I S. 2288), wird verordnet:</w:t>
      </w:r>
    </w:p>
    <w:p>
      <w:r>
        <w:rPr>
          <w:color w:val="555555"/>
          <w:sz w:val="17"/>
        </w:rPr>
        <w:t xml:space="preserve">Zitiervorschlag: Volltext TilgVO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https://recht.nulegal.eu/gesetze/TilgVO/volltext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