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TilgVO (Nordrhein-Westfalen) — Weisungen</w:t>
      </w:r>
    </w:p>
    <w:p>
      <w:r>
        <w:rPr>
          <w:color w:val="555555"/>
          <w:sz w:val="18"/>
        </w:rPr>
        <w:t xml:space="preserve">Tilgungsverordnung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verurteilte Person hat den Weisungen der Strafvollstreckungsbehörde und hinsichtlich der ihr obliegenden Pflichten im Rahmen des Beschäftigungsverhältnisses den Anordnungen der Beschäftigungsstelle nachzukommen.</w:t>
      </w:r>
    </w:p>
    <w:p>
      <w:r>
        <w:rPr>
          <w:color w:val="555555"/>
          <w:sz w:val="17"/>
        </w:rPr>
        <w:t xml:space="preserve">Zitiervorschlag: § 5 TilgVO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https://recht.nulegal.eu/gesetze/TilgVO/5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