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TierzPrüfVO (Sachsen)</w:t>
      </w:r>
    </w:p>
    <w:p>
      <w:r>
        <w:rPr>
          <w:color w:val="555555"/>
          <w:sz w:val="18"/>
        </w:rPr>
        <w:t xml:space="preserve">Tierzuchtprüfungsverordnung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13 Abs. 3 Nr. 4 und § 15 Abs. 3 des Tierzuchtgesetzes in der Fassung der Bekanntmachung vom 22. Januar 1998 (BGBl. I S. 145), geändert durch Artikel 2 Abs. 2 des Gesetzes vom 26. August 1998 (BGBl. I S. 2521, 2544), in Verbindung mit § 1 der Verordnung der Sächsischen Staatsregierung zur Übertragung von Ermächtigungen nach dem Tierzuchtgesetz vom 18. Juni 1991 (SächsGVBl. S. 168) wird verordnet:</w:t>
      </w:r>
    </w:p>
    <w:p>
      <w:r>
        <w:rPr>
          <w:color w:val="555555"/>
          <w:sz w:val="17"/>
        </w:rPr>
        <w:t xml:space="preserve">Zitiervorschlag: Eingangsformel TierzPrüfVO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https://recht.nulegal.eu/gesetze/TierzPr%C3%BCfVO/eingangsformel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