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TierwMeistPrV</w:t>
      </w:r>
    </w:p>
    <w:p>
      <w:r>
        <w:rPr>
          <w:color w:val="555555"/>
          <w:sz w:val="18"/>
        </w:rPr>
        <w:t xml:space="preserve">Tierwirtmeisterprüfungsverordnung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3 in Verbindung mit Absatz 2 des Berufsbildungsgesetzes, dessen Absatz 3 durch Artikel 232 Nummer 3 Buchstabe b der Verordnung vom 31. Oktober 2006 (BGBl. I S. 2407) geändert worden ist, verordnet das Bundesministerium für Ernährung, Landwirtschaft und Verbraucherschutz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TierwMeistPrV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https://recht.nulegal.eu/gesetze/TierwMeistPrV/eingangsformel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