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TierschZVO (Sachsen) — Inkrafttreten und Außerkrafttreten</w:t>
      </w:r>
    </w:p>
    <w:p>
      <w:r>
        <w:rPr>
          <w:color w:val="555555"/>
          <w:sz w:val="18"/>
        </w:rPr>
        <w:t xml:space="preserve">Zuständigkeitsverordnung Tierschutz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ihrer Verkündung in Kraft. Gleichzeitig tritt die Verordnung des Sächsischen Staatsministeriums für Soziales über Zuständigkeiten zur Ausführung tierschutzrechtlicher Vorschriften (Zuständigkeitsverordnung Tierschutz – TierschZVO) vom 3. Februar 2005 (SächsGVBl. S. 18) außer Kraft.</w:t>
      </w:r>
    </w:p>
    <w:p>
      <w:r>
        <w:t xml:space="preserve">Dresden, den 12. Dezember 2014</w:t>
      </w:r>
    </w:p>
    <w:p>
      <w:r>
        <w:t xml:space="preserve">Die Staatsministerin für Soziales und Verbraucherschutz</w:t>
      </w:r>
    </w:p>
    <w:p>
      <w:r>
        <w:t xml:space="preserve">Barbara Klepsch</w:t>
      </w:r>
    </w:p>
    <w:p>
      <w:r>
        <w:rPr>
          <w:color w:val="555555"/>
          <w:sz w:val="17"/>
        </w:rPr>
        <w:t xml:space="preserve">Zitiervorschlag: § 2 TierschZVO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https://recht.nulegal.eu/gesetze/TierschZVO/2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