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TierpflMstrV 2009 — Bestehen der Prüfung, Gesamtnote</w:t>
      </w:r>
    </w:p>
    <w:p>
      <w:r>
        <w:rPr>
          <w:color w:val="555555"/>
          <w:sz w:val="18"/>
        </w:rPr>
        <w:t xml:space="preserve">Verordnung über die Prüfung zum anerkannten Abschluss Geprüfter Tierpflegemeister/Geprüfte Tierpflegemeisterin</w:t>
      </w:r>
    </w:p>
    <w:p>
      <w:r>
        <w:rPr>
          <w:color w:val="555555"/>
          <w:sz w:val="18"/>
        </w:rPr>
        <w:t xml:space="preserve">Stand: 10.01.2020 (konsolidierte Textfassung, kein amtliches Inkrafttretensdatum)</w:t>
      </w:r>
    </w:p>
    <w:p>
      <w:r>
        <w:t xml:space="preserve">(1) Die Prüfung ist bestanden, wenn ohne Rundung in den folgenden Prüfungsleistungen jeweils mindestens 50 Punkte erreicht worden sind:</w:t>
      </w:r>
    </w:p>
    <w:p>
      <w:pPr>
        <w:ind w:left="420"/>
      </w:pPr>
      <w:r>
        <w:t xml:space="preserve">1. in jedem Prüfungsbereich des Prüfungsteils „Grundlegende Qualifikationen“,</w:t>
      </w:r>
    </w:p>
    <w:p>
      <w:pPr>
        <w:ind w:left="420"/>
      </w:pPr>
      <w:r>
        <w:t xml:space="preserve">2. im Prüfungsteil „Handlungsspezifische Qualifikationen“</w:t>
      </w:r>
    </w:p>
    <w:p>
      <w:pPr>
        <w:ind w:left="780"/>
      </w:pPr>
      <w:r>
        <w:t xml:space="preserve">a) in jeder der beiden schriftlichen Situationsaufgaben,</w:t>
      </w:r>
    </w:p>
    <w:p>
      <w:pPr>
        <w:ind w:left="780"/>
      </w:pPr>
      <w:r>
        <w:t xml:space="preserve">b) in der praktischen Aufgabe,</w:t>
      </w:r>
    </w:p>
    <w:p>
      <w:pPr>
        <w:ind w:left="780"/>
      </w:pPr>
      <w:r>
        <w:t xml:space="preserve">c) im Fachgespräch und</w:t>
      </w:r>
    </w:p>
    <w:p>
      <w:pPr>
        <w:ind w:left="780"/>
      </w:pPr>
      <w:r>
        <w:t xml:space="preserve">d) in der Gesprächssimulation.</w:t>
      </w:r>
    </w:p>
    <w:p>
      <w:r>
        <w:t xml:space="preserve">(2) Ist die Prüfung bestanden, so werden die folgenden Bewertungen jeweils kaufmännisch auf eine ganze Zahl gerundet:</w:t>
      </w:r>
    </w:p>
    <w:p>
      <w:pPr>
        <w:ind w:left="420"/>
      </w:pPr>
      <w:r>
        <w:t xml:space="preserve">1. die Bewertung für den Prüfungsteil „Grundlegende Qualifikationen“,</w:t>
      </w:r>
    </w:p>
    <w:p>
      <w:pPr>
        <w:ind w:left="420"/>
      </w:pPr>
      <w:r>
        <w:t xml:space="preserve">2. die Bewertung für den Prüfungsteil „Handlungsspezifische Qualifikationen“.</w:t>
      </w:r>
    </w:p>
    <w:p>
      <w:r>
        <w:t xml:space="preserve">(3) Den einzelnen Bewertungen für den Prüfungsteil „Grundlegende Qualifikationen“, für alle Prüfungsbereiche des Prüfungsteils „Grundlegende Qualifikationen“, für die beiden Situationsaufgaben, für die praktische Aufgabe, für das Fachgespräch und für die Gesprächssimulation ist nach Anlage 1 die jeweilige Note als Dezimalzahl zuzuordnen.</w:t>
      </w:r>
    </w:p>
    <w:p>
      <w:r>
        <w:t xml:space="preserve">(4) Für die Bildung einer Gesamtnote ist als Gesamtpunktzahl das gewichtete arithmetische Mittel zu berechnen. Dabei werden die Bewertungen wie folgt gewichtet:</w:t>
      </w:r>
    </w:p>
    <w:p>
      <w:pPr>
        <w:ind w:left="420"/>
      </w:pPr>
      <w:r>
        <w:t xml:space="preserve">1. die Bewertung für den Prüfungsteil „Grundlegende Qualifikationen“ mit 25 Prozent,</w:t>
      </w:r>
    </w:p>
    <w:p>
      <w:pPr>
        <w:ind w:left="420"/>
      </w:pPr>
      <w:r>
        <w:t xml:space="preserve">2. die Bewertung für den Prüfungsteil „Handlungsspezifische Qualifikationen“ mit 75 Prozent.</w:t>
      </w:r>
    </w:p>
    <w:p>
      <w:r>
        <w:t xml:space="preserve">Die Gesamtpunktzahl ist kaufmännisch auf eine ganze Zahl zu runden. Der gerundeten Gesamtpunktzahl ist nach Anlage 1 eine Note als Dezimalzahl und die Note in Worten zuzuordnen. Die zugeordnete Note ist die Gesamtnote.</w:t>
      </w:r>
    </w:p>
    <w:p>
      <w:r>
        <w:rPr>
          <w:color w:val="555555"/>
          <w:sz w:val="17"/>
        </w:rPr>
        <w:t xml:space="preserve">Zitiervorschlag: § 8 TierpflMstrV 2009</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https://recht.nulegal.eu/gesetze/TierpflMstrV%202009/8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