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TierpflMstrV 2009 — Inhalt und Gliederung der Prüfung</w:t>
      </w:r>
    </w:p>
    <w:p>
      <w:r>
        <w:rPr>
          <w:color w:val="555555"/>
          <w:sz w:val="18"/>
        </w:rPr>
        <w:t xml:space="preserve">Verordnung über die Prüfung zum anerkannten Abschluss Geprüfter Tierpflegemeister/Geprüfte Tierpflegemeisterin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Qualifikation zum Geprüften Tierpflegemeister/zur Geprüften Tierpflegemeisterin umfasst:</w:t>
      </w:r>
    </w:p>
    <w:p>
      <w:pPr>
        <w:ind w:left="420"/>
      </w:pPr>
      <w:r>
        <w:t xml:space="preserve">1. Grundlegende Qualifikationen,</w:t>
      </w:r>
    </w:p>
    <w:p>
      <w:pPr>
        <w:ind w:left="420"/>
      </w:pPr>
      <w:r>
        <w:t xml:space="preserve">2. Handlungsspezifische Qualifikationen,</w:t>
      </w:r>
    </w:p>
    <w:p>
      <w:pPr>
        <w:ind w:left="420"/>
      </w:pPr>
      <w:r>
        <w:t xml:space="preserve">3. Berufs- und arbeitspädagogische Qualifikationen.</w:t>
      </w:r>
    </w:p>
    <w:p>
      <w:r>
        <w:t xml:space="preserve">(2) Die Prüfung gliedert sich in die Prüfungsteile:</w:t>
      </w:r>
    </w:p>
    <w:p>
      <w:pPr>
        <w:ind w:left="420"/>
      </w:pPr>
      <w:r>
        <w:t xml:space="preserve">1. Grundlegende Qualifikationen und</w:t>
      </w:r>
    </w:p>
    <w:p>
      <w:pPr>
        <w:ind w:left="420"/>
      </w:pPr>
      <w:r>
        <w:t xml:space="preserve">2. Handlungsspezifische Qualifikationen.</w:t>
      </w:r>
    </w:p>
    <w:p>
      <w:r>
        <w:t xml:space="preserve">(3) Der Prüfungsteil nach Absatz 2 Nummer 1 ist schriftlich in Form von anwendungsbezogenen Aufgaben nach § 4 zu prüfen.</w:t>
      </w:r>
    </w:p>
    <w:p>
      <w:r>
        <w:t xml:space="preserve">(4) Der Prüfungsteil nach Absatz 2 Nummer 2 ist schriftlich in Form von Situationsaufgaben, mündlich in Form eines Fachgespräches und einer Gesprächssimulation sowie in Form einer praktischen Aufgabe nach § 5 zu prüfen.</w:t>
      </w:r>
    </w:p>
    <w:p>
      <w:r>
        <w:t xml:space="preserve">(5) Der Erwerb der berufs- und arbeitspädagogischen Qualifikationen nach der auf der Grundlage des Berufsbildungsgesetzes geregelten Ausbilder-Eignungsverordnung in der jeweils geltenden Fassung oder einer anderen gleichwertigen öffentlich-rechtlichen Regelung ist nachzuweisen. Der Nachweis ist vor Beginn der letzten Prüfungsleistung zu erbringen.</w:t>
      </w:r>
    </w:p>
    <w:p>
      <w:r>
        <w:rPr>
          <w:color w:val="555555"/>
          <w:sz w:val="17"/>
        </w:rPr>
        <w:t xml:space="preserve">Zitiervorschlag: § 3 TierpflMstrV 2009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https://recht.nulegal.eu/gesetze/TierpflMstrV%202009/3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