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TierpflMstrV 2009 — Inkrafttreten, Außerkrafttreten</w:t>
      </w:r>
    </w:p>
    <w:p>
      <w:r>
        <w:rPr>
          <w:color w:val="555555"/>
          <w:sz w:val="18"/>
        </w:rPr>
        <w:t xml:space="preserve">Verordnung über die Prüfung zum anerkannten Abschluss Geprüfter Tierpflegemeister/Geprüfte Tierpflegemeisterin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Diese Verordnung tritt am 1. April 2009 in Kraft. Gleichzeitig tritt die Verordnung über die Prüfung zum anerkannten Abschluss Geprüfter Tierpflegemeister/ Geprüfte Tierpflegemeisterin vom 11. Juli 1990 (BGBl. I S. 1404), die zuletzt durch Artikel 9 der Verordnung vom 19. Oktober 2007 (BGBl. I S. 2461) geändert worden ist, außer Kraft.</w:t>
      </w:r>
    </w:p>
    <w:p>
      <w:r>
        <w:rPr>
          <w:color w:val="555555"/>
          <w:sz w:val="17"/>
        </w:rPr>
        <w:t xml:space="preserve">Zitiervorschlag: § 12 TierpflMstrV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https://recht.nulegal.eu/gesetze/TierpflMstrV%202009/12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TierpflMstrV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