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TierpflAusbV 2003 — Ausbildungsdauer</w:t>
      </w:r>
    </w:p>
    <w:p>
      <w:r>
        <w:rPr>
          <w:color w:val="555555"/>
          <w:sz w:val="18"/>
        </w:rPr>
        <w:t xml:space="preserve">Verordnung über die Berufsausbildung zum Tierpfleger/zur Tierpflegerin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 Es kann zwischen den Fachrichtungen</w:t>
      </w:r>
    </w:p>
    <w:p>
      <w:pPr>
        <w:ind w:left="420"/>
      </w:pPr>
      <w:r>
        <w:t xml:space="preserve">1. Forschung und Klinik,</w:t>
      </w:r>
    </w:p>
    <w:p>
      <w:pPr>
        <w:ind w:left="420"/>
      </w:pPr>
      <w:r>
        <w:t xml:space="preserve">2. Zoo,</w:t>
      </w:r>
    </w:p>
    <w:p>
      <w:pPr>
        <w:ind w:left="420"/>
      </w:pPr>
      <w:r>
        <w:t xml:space="preserve">3. Tierheim und Tierpension</w:t>
      </w:r>
    </w:p>
    <w:p>
      <w:r>
        <w:t xml:space="preserve">gewählt werden.</w:t>
      </w:r>
    </w:p>
    <w:p>
      <w:r>
        <w:rPr>
          <w:color w:val="555555"/>
          <w:sz w:val="17"/>
        </w:rPr>
        <w:t xml:space="preserve">Zitiervorschlag: § 2 TierpflAusbV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https://recht.nulegal.eu/gesetze/TierpflAusbV%202003/2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