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TiermedFAngAusbV — Staatliche Anerkennung des Ausbildungsberufes</w:t>
      </w:r>
    </w:p>
    <w:p>
      <w:r>
        <w:rPr>
          <w:color w:val="555555"/>
          <w:sz w:val="18"/>
        </w:rPr>
        <w:t xml:space="preserve">Verordnung über die Berufsausbildung zum Tiermedizinischen Fachangestellten/zur Tiermedizinischen Fachangestellten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Tiermedizinischer Fachangestellter/Tiermedizinische Fachangestellte wird staatlich anerkannt.</w:t>
      </w:r>
    </w:p>
    <w:p>
      <w:r>
        <w:rPr>
          <w:color w:val="555555"/>
          <w:sz w:val="17"/>
        </w:rPr>
        <w:t xml:space="preserve">Zitiervorschlag: § 1 TiermedFAngAusbV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https://recht.nulegal.eu/gesetze/TiermedFAngAusbV/1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TiermedFAngAusbV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