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TierZOV 2009</w:t>
      </w:r>
    </w:p>
    <w:p>
      <w:r>
        <w:rPr>
          <w:color w:val="555555"/>
          <w:sz w:val="18"/>
        </w:rPr>
        <w:t xml:space="preserve">Tierzuchtorganisationsverordnung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Auf Grund des § 8 Abs. 1 Nr. 1 Buchstabe a bis d und Nr. 4 und des § 18 Abs. 1 Nr. 3 und 5 des Tierzuchtgesetzes vom 21. Dezember 2006 (BGBl. I S. 3294) verordnet das Bundesministerium für Ernährung, Landwirtschaft und Verbraucherschutz:</w:t>
      </w:r>
    </w:p>
    <w:p>
      <w:r>
        <w:rPr>
          <w:color w:val="555555"/>
          <w:sz w:val="17"/>
        </w:rPr>
        <w:t xml:space="preserve">Zitiervorschlag: Eingangsformel TierZOV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https://recht.nulegal.eu/gesetze/TierZOV%202009/eingangsformel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