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TierZOV 2009 — Zuchtregisterordnung</w:t>
      </w:r>
    </w:p>
    <w:p>
      <w:r>
        <w:rPr>
          <w:color w:val="555555"/>
          <w:sz w:val="18"/>
        </w:rPr>
        <w:t xml:space="preserve">Tierzuchtorganisationsverordnung</w:t>
      </w:r>
    </w:p>
    <w:p>
      <w:r>
        <w:rPr>
          <w:color w:val="555555"/>
          <w:sz w:val="18"/>
        </w:rPr>
        <w:t xml:space="preserve">Historische Fassung: Stand 10.06.2019 bis 22.07.2021. Dies ist nicht die aktuelle Fassung.</w:t>
      </w:r>
    </w:p>
    <w:p>
      <w:r>
        <w:t xml:space="preserve">(1) In der Zuchtregisterordnung ist zu regeln,</w:t>
      </w:r>
    </w:p>
    <w:p>
      <w:pPr>
        <w:ind w:left="420"/>
      </w:pPr>
      <w:r>
        <w:t xml:space="preserve">1. dass die im Zuchtregister einzutragenden Schweine, die Zuchttiere im Sinne des § 2 Nr. 11 Buchstabe c des Tierzuchtgesetzes sind (Zuchtschweine), einschließlich der als Eltern von Endprodukten vorgesehenen Schweine innerhalb bestimmter Fristen gekennzeichnet werden müssen;</w:t>
      </w:r>
    </w:p>
    <w:p>
      <w:pPr>
        <w:ind w:left="420"/>
      </w:pPr>
      <w:r>
        <w:t xml:space="preserve">2. dass die Deck- oder Besamungsdaten und die Abferkeldaten der Tiere nach Nummer 1 innerhalb bestimmter Fristen vermerkt werden müssen;</w:t>
      </w:r>
    </w:p>
    <w:p>
      <w:pPr>
        <w:ind w:left="420"/>
      </w:pPr>
      <w:r>
        <w:t xml:space="preserve">3. dass in den dem Zuchtprogramm angeschlossenen Betrieben als Grundlage für die Eintragung in das Zuchtregister</w:t>
      </w:r>
    </w:p>
    <w:p>
      <w:pPr>
        <w:ind w:left="780"/>
      </w:pPr>
      <w:r>
        <w:t xml:space="preserve">a) Aufzeichnungen über</w:t>
      </w:r>
    </w:p>
    <w:p>
      <w:pPr>
        <w:ind w:left="1140"/>
      </w:pPr>
      <w:r>
        <w:t xml:space="preserve">aa) die Kennzeichen,</w:t>
      </w:r>
    </w:p>
    <w:p>
      <w:pPr>
        <w:ind w:left="1140"/>
      </w:pPr>
      <w:r>
        <w:t xml:space="preserve">bb) die Abstammung und</w:t>
      </w:r>
    </w:p>
    <w:p>
      <w:pPr>
        <w:ind w:left="1140"/>
      </w:pPr>
      <w:r>
        <w:t xml:space="preserve">cc) die Deck- oder Besamungsdaten und die Abferkeldaten</w:t>
      </w:r>
    </w:p>
    <w:p>
      <w:pPr>
        <w:ind w:left="780"/>
      </w:pPr>
      <w:r>
        <w:t xml:space="preserve">der Zuchtschweine,</w:t>
      </w:r>
    </w:p>
    <w:p>
      <w:pPr>
        <w:ind w:left="780"/>
      </w:pPr>
      <w:r>
        <w:t xml:space="preserve">b) bei Zuchtschweinen, die aus einem Embryotransfer hervorgegangen sind, zusätzlich Aufzeichnungen über</w:t>
      </w:r>
    </w:p>
    <w:p>
      <w:pPr>
        <w:ind w:left="1140"/>
      </w:pPr>
      <w:r>
        <w:t xml:space="preserve">aa) die Kennzeichen der genetischen Eltern, des Empfängertieres und des Embryos,</w:t>
      </w:r>
    </w:p>
    <w:p>
      <w:pPr>
        <w:ind w:left="1140"/>
      </w:pPr>
      <w:r>
        <w:t xml:space="preserve">bb) den Zeitpunkt der Besamung und</w:t>
      </w:r>
    </w:p>
    <w:p>
      <w:pPr>
        <w:ind w:left="1140"/>
      </w:pPr>
      <w:r>
        <w:t xml:space="preserve">cc) die Zeitpunkte der Entnahme und der Übertragung des Embryos</w:t>
      </w:r>
    </w:p>
    <w:p>
      <w:pPr>
        <w:ind w:left="420"/>
      </w:pPr>
      <w:r>
        <w:t xml:space="preserve">vorzunehmen sind;</w:t>
      </w:r>
    </w:p>
    <w:p>
      <w:pPr>
        <w:ind w:left="420"/>
      </w:pPr>
      <w:r>
        <w:t xml:space="preserve">4. wie die Abstammung festgestellt und in welchem Umfang diese überprüft wird, wobei auch stichprobenartige, risikoorientierte Überprüfungen anhand eines der Verfahren nach § 8 nach einem vorgegebenen Prüfplan vorzusehen sind;</w:t>
      </w:r>
    </w:p>
    <w:p>
      <w:pPr>
        <w:ind w:left="420"/>
      </w:pPr>
      <w:r>
        <w:t xml:space="preserve">5. welche Aufzeichnungen im Rahmen der Überprüfungen nach Nummer 4 vorgesehen sind;</w:t>
      </w:r>
    </w:p>
    <w:p>
      <w:pPr>
        <w:ind w:left="420"/>
      </w:pPr>
      <w:r>
        <w:t xml:space="preserve">6. dass festgestellte Abweichungen bei Überprüfungen nach Nummer 4 sowie Überschreitungen der Fristen nach den Nummern 1 und 2 aufgezeichnet werden und welche Maßnahmen in diesem Fall zu ergreifen sind;</w:t>
      </w:r>
    </w:p>
    <w:p>
      <w:pPr>
        <w:ind w:left="420"/>
      </w:pPr>
      <w:r>
        <w:t xml:space="preserve">7. welche Verfahren und Testergebnisse nach § 8 zur Überprüfung der Identität und Abstammung verwendet werden;</w:t>
      </w:r>
    </w:p>
    <w:p>
      <w:pPr>
        <w:ind w:left="420"/>
      </w:pPr>
      <w:r>
        <w:t xml:space="preserve">8. unter welchen Voraussetzungen Änderungen von Eintragungen im Zuchtregister vorgenommen werden dürfen und</w:t>
      </w:r>
    </w:p>
    <w:p>
      <w:pPr>
        <w:ind w:left="420"/>
      </w:pPr>
      <w:r>
        <w:t xml:space="preserve">9. welche Linien, Kreuzungstypen und Rassen im Rahmen des Kreuzungsprogramms verwendet werden.</w:t>
      </w:r>
    </w:p>
    <w:p>
      <w:r>
        <w:t xml:space="preserve">(2) Die Aufzeichnungen, die nach Absatz 1 Nr. 5 und 6 gemacht werden, sind mindestens fünf Jahre nach dem Zeitpunkt ihrer Erstellung in der Geschäftsstelle der Zuchtorganisation aufzubewahren.</w:t>
      </w:r>
    </w:p>
    <w:p>
      <w:r>
        <w:t xml:space="preserve">(3) Den Aufzeichnungen nach Absatz 1 Nr. 3, 5 und 6 stehen im automatisierten Verfahren oder im Informationssystem erstellte Unterlagen gleich.</w:t>
      </w:r>
    </w:p>
    <w:p>
      <w:r>
        <w:rPr>
          <w:color w:val="555555"/>
          <w:sz w:val="17"/>
        </w:rPr>
        <w:t xml:space="preserve">Zitiervorschlag: § 4 TierZOV 2009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https://recht.nulegal.eu/gesetze/TierZOV%202009/4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