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TierZOV 2009 — Zuchtbuchordnung</w:t>
      </w:r>
    </w:p>
    <w:p>
      <w:r>
        <w:rPr>
          <w:color w:val="555555"/>
          <w:sz w:val="18"/>
        </w:rPr>
        <w:t xml:space="preserve">Tierzuchtorganisationsverordnung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In der Zuchtbuchordnung ist zu regeln,</w:t>
      </w:r>
    </w:p>
    <w:p>
      <w:pPr>
        <w:ind w:left="420"/>
      </w:pPr>
      <w:r>
        <w:t xml:space="preserve">1. dass die im Zuchtbuch einzutragenden Zuchttiere und ihre für das Zuchtprogramm vorgesehenen Nachkommen innerhalb eines bestimmten Zeitraums nach deren Geburt gekennzeichnet werden müssen;</w:t>
      </w:r>
    </w:p>
    <w:p>
      <w:pPr>
        <w:ind w:left="420"/>
      </w:pPr>
      <w:r>
        <w:t xml:space="preserve">2. dass der Züchtervereinigung die Deck- oder Besamungsdaten und die Abkalbe-, Abferkel-, Ablamm- oder Abfohldaten der Zuchttiere innerhalb bestimmter Fristen zu melden sind und wer für die Meldungen verantwortlich ist;</w:t>
      </w:r>
    </w:p>
    <w:p>
      <w:pPr>
        <w:ind w:left="420"/>
      </w:pPr>
      <w:r>
        <w:t xml:space="preserve">3. dass in den Zuchtbetrieben als Grundlage für die Eintragung in das Zuchtbuch</w:t>
      </w:r>
    </w:p>
    <w:p>
      <w:pPr>
        <w:ind w:left="780"/>
      </w:pPr>
      <w:r>
        <w:t xml:space="preserve">a) Aufzeichnungen über</w:t>
      </w:r>
    </w:p>
    <w:p>
      <w:pPr>
        <w:ind w:left="1140"/>
      </w:pPr>
      <w:r>
        <w:t xml:space="preserve">aa) die Kennzeichen,</w:t>
      </w:r>
    </w:p>
    <w:p>
      <w:pPr>
        <w:ind w:left="1140"/>
      </w:pPr>
      <w:r>
        <w:t xml:space="preserve">bb) die Abstammung und</w:t>
      </w:r>
    </w:p>
    <w:p>
      <w:pPr>
        <w:ind w:left="1140"/>
      </w:pPr>
      <w:r>
        <w:t xml:space="preserve">cc) die Deck- oder Besamungsdaten und die Abkalbe-, Abferkel-, Ablamm- oder Abfohldaten</w:t>
      </w:r>
    </w:p>
    <w:p>
      <w:pPr>
        <w:ind w:left="780"/>
      </w:pPr>
      <w:r>
        <w:t xml:space="preserve">der Zuchttiere,</w:t>
      </w:r>
    </w:p>
    <w:p>
      <w:pPr>
        <w:ind w:left="780"/>
      </w:pPr>
      <w:r>
        <w:t xml:space="preserve">b) bei Zuchttieren, die aus einem Embryotransfer hervorgegangen sind, zusätzlich Aufzeichnungen über</w:t>
      </w:r>
    </w:p>
    <w:p>
      <w:pPr>
        <w:ind w:left="1140"/>
      </w:pPr>
      <w:r>
        <w:t xml:space="preserve">aa) die Kennzeichen der genetischen Eltern, des Empfängertieres und des Embryos,</w:t>
      </w:r>
    </w:p>
    <w:p>
      <w:pPr>
        <w:ind w:left="1140"/>
      </w:pPr>
      <w:r>
        <w:t xml:space="preserve">bb) den Zeitpunkt der Besamung und</w:t>
      </w:r>
    </w:p>
    <w:p>
      <w:pPr>
        <w:ind w:left="1140"/>
      </w:pPr>
      <w:r>
        <w:t xml:space="preserve">cc) die Zeitpunkte der Entnahme und der Übertragung des Embryos</w:t>
      </w:r>
    </w:p>
    <w:p>
      <w:pPr>
        <w:ind w:left="420"/>
      </w:pPr>
      <w:r>
        <w:t xml:space="preserve">vorzunehmen sind und wer für die Aufzeichnungen verantwortlich ist;</w:t>
      </w:r>
    </w:p>
    <w:p>
      <w:pPr>
        <w:ind w:left="420"/>
      </w:pPr>
      <w:r>
        <w:t xml:space="preserve">4. wie die Abstammung festgestellt und in welchem Umfang diese überprüft wird, wobei auch stichprobenartige, risikoorientierte Überprüfungen anhand eines der Verfahren nach § 8 nach einem vorgegebenen Prüfplan vorzusehen sind;</w:t>
      </w:r>
    </w:p>
    <w:p>
      <w:pPr>
        <w:ind w:left="420"/>
      </w:pPr>
      <w:r>
        <w:t xml:space="preserve">5. welche Aufzeichnungen im Rahmen der Überprüfungen nach Nummer 4 vorgesehen sind;</w:t>
      </w:r>
    </w:p>
    <w:p>
      <w:pPr>
        <w:ind w:left="420"/>
      </w:pPr>
      <w:r>
        <w:t xml:space="preserve">6. dass festgestellte Abweichungen bei der Überprüfung der Abstammung nach Nummer 4 sowie Überschreitungen der Fristen nach den Nummern 1 und 2 aufgezeichnet werden;</w:t>
      </w:r>
    </w:p>
    <w:p>
      <w:pPr>
        <w:ind w:left="420"/>
      </w:pPr>
      <w:r>
        <w:t xml:space="preserve">7. welche Maßnahmen zu ergreifen sind, wenn Abweichungen bei der Überprüfung der Abstammung nach Nummer 4 sowie Überschreitungen der Fristen nach den Nummern 1 und 2 festgestellt werden;</w:t>
      </w:r>
    </w:p>
    <w:p>
      <w:pPr>
        <w:ind w:left="420"/>
      </w:pPr>
      <w:r>
        <w:t xml:space="preserve">8. unter welchen Voraussetzungen Änderungen von Eintragungen im Zuchtbuch vorgenommen werden können;</w:t>
      </w:r>
    </w:p>
    <w:p>
      <w:pPr>
        <w:ind w:left="420"/>
      </w:pPr>
      <w:r>
        <w:t xml:space="preserve">9. welche Verfahren und Testergebnisse nach § 8 zur Überprüfung der Identität und Abstammung verwendet werden;</w:t>
      </w:r>
    </w:p>
    <w:p>
      <w:pPr>
        <w:ind w:left="420"/>
      </w:pPr>
      <w:r>
        <w:t xml:space="preserve">10. ob eine Unterteilung der Hauptabteilung des Zuchtbuches in unterschiedliche Abteilungen auf Grund bestimmter Leistungen oder Zuchtwerte vorgesehen ist und nach welchen Kriterien diese gestaltet sind und</w:t>
      </w:r>
    </w:p>
    <w:p>
      <w:pPr>
        <w:ind w:left="420"/>
      </w:pPr>
      <w:r>
        <w:t xml:space="preserve">11. ob neben der Hauptabteilung eine besondere Abteilung im Zuchtbuch vorgesehen ist und welche Anforderungen zur Eintragung in diese Abteilung gestellt werden.</w:t>
      </w:r>
    </w:p>
    <w:p>
      <w:r>
        <w:t xml:space="preserve">(2) Im Falle einer Zuchtorganisation, die das Ursprungszuchtbuch einer Equidenrasse führt, muss in der Zuchtbuchordnung zusätzlich festgelegt werden,</w:t>
      </w:r>
    </w:p>
    <w:p>
      <w:pPr>
        <w:ind w:left="420"/>
      </w:pPr>
      <w:r>
        <w:t xml:space="preserve">1. welche anderen Rassen für eine Einkreuzung zugelassen sind,</w:t>
      </w:r>
    </w:p>
    <w:p>
      <w:pPr>
        <w:ind w:left="420"/>
      </w:pPr>
      <w:r>
        <w:t xml:space="preserve">2. wie die Grundsätze nach Nummer 3 Buchstabe b des Anhanges der Entscheidung 92/353/EWG der Kommission vom 11. Juni 1992 mit Kriterien für die Zulassung bzw. Anerkennung der Zuchtorganisationen und Züchtervereinigungen, die Zuchtbücher für eingetragene Equiden führen oder anlegen (ABl. L 192 vom 11.7.1992, S. 63, L 265 vom 11.9.1992, S. 43), umgesetzt werden,</w:t>
      </w:r>
    </w:p>
    <w:p>
      <w:pPr>
        <w:ind w:left="420"/>
      </w:pPr>
      <w:r>
        <w:t xml:space="preserve">3. welches Verfahren zur Mitteilung der in Nummer 2 genannten Grundsätze an andere Zuchtorganisationen, die Zuchtbücher der gleichen Rasse führen, angewendet wird.</w:t>
      </w:r>
    </w:p>
    <w:p>
      <w:r>
        <w:t xml:space="preserve">(3) Die Aufzeichnungen nach Absatz 1 Nr. 5 und 6 sind mindestens zehn Jahre nach dem Zeitpunkt ihrer Erstellung in der Geschäftsstelle der Zuchtorganisation aufzubewahren.</w:t>
      </w:r>
    </w:p>
    <w:p>
      <w:r>
        <w:t xml:space="preserve">(4) Den Aufzeichnungen nach Absatz 1 Nr. 3, 5 und 6 stehen im automatisierten Verfahren oder in einem Informationssystem erstellte Unterlagen gleich.</w:t>
      </w:r>
    </w:p>
    <w:p>
      <w:r>
        <w:rPr>
          <w:color w:val="555555"/>
          <w:sz w:val="17"/>
        </w:rPr>
        <w:t xml:space="preserve">Zitiervorschlag: § 2 TierZOV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https://recht.nulegal.eu/gesetze/TierZOV%202009/2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